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3B8C4" w14:textId="6D3D6645" w:rsidR="00D0009F" w:rsidRDefault="00552096" w:rsidP="00552096">
      <w:pPr>
        <w:jc w:val="right"/>
      </w:pPr>
      <w:bookmarkStart w:id="1" w:name="_Hlk31195494"/>
      <w:bookmarkEnd w:id="1"/>
      <w:r>
        <w:rPr>
          <w:noProof/>
        </w:rPr>
        <w:drawing>
          <wp:inline distT="0" distB="0" distL="0" distR="0" wp14:anchorId="6789626B" wp14:editId="1C919EBB">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AF9B901" w14:textId="020D9E5E" w:rsidR="00EF5EEE" w:rsidRDefault="00EF5EEE"/>
    <w:p w14:paraId="5F814068" w14:textId="5EADCD02" w:rsidR="00E168A2" w:rsidRDefault="0061306E">
      <w:r>
        <w:t>January 31, 2020</w:t>
      </w:r>
    </w:p>
    <w:p w14:paraId="5868D002" w14:textId="77777777" w:rsidR="00E168A2" w:rsidRDefault="00E168A2"/>
    <w:p w14:paraId="39A6BF29" w14:textId="7A6D7464" w:rsidR="009135BB" w:rsidRDefault="009135BB">
      <w:r>
        <w:t xml:space="preserve">Thomas </w:t>
      </w:r>
      <w:r w:rsidR="00576216">
        <w:t xml:space="preserve">L. </w:t>
      </w:r>
      <w:r w:rsidR="00DE7B0B">
        <w:t>Kuhnert</w:t>
      </w:r>
    </w:p>
    <w:p w14:paraId="45BBC8B1" w14:textId="7F61AAB4" w:rsidR="009231B7" w:rsidRDefault="009231B7">
      <w:r>
        <w:t>Tennessee Valley Authority</w:t>
      </w:r>
      <w:r>
        <w:br/>
        <w:t>Supply Chain</w:t>
      </w:r>
      <w:r w:rsidR="002765B1">
        <w:t xml:space="preserve"> </w:t>
      </w:r>
      <w:r w:rsidR="003D118F">
        <w:t>–</w:t>
      </w:r>
      <w:r w:rsidR="002765B1">
        <w:t xml:space="preserve"> Sourcing</w:t>
      </w:r>
      <w:r w:rsidR="003D118F">
        <w:t xml:space="preserve">, </w:t>
      </w:r>
      <w:r w:rsidR="0093601F">
        <w:t>MR</w:t>
      </w:r>
      <w:r w:rsidR="00D164CF">
        <w:t xml:space="preserve"> 5F-C</w:t>
      </w:r>
    </w:p>
    <w:p w14:paraId="15C5B8AD" w14:textId="587BAECE" w:rsidR="009135BB" w:rsidRDefault="009135BB">
      <w:r>
        <w:t>1101 Market Street</w:t>
      </w:r>
    </w:p>
    <w:p w14:paraId="1BEE00F6" w14:textId="72EC5B2A" w:rsidR="009135BB" w:rsidRDefault="009135BB">
      <w:r>
        <w:t xml:space="preserve">Chattanooga, TN </w:t>
      </w:r>
      <w:r w:rsidR="00054556">
        <w:t>37401</w:t>
      </w:r>
    </w:p>
    <w:p w14:paraId="707246C0" w14:textId="2E10E8B0" w:rsidR="00054556" w:rsidRDefault="00054556"/>
    <w:p w14:paraId="59BB7137" w14:textId="64B65FF7" w:rsidR="006171E5" w:rsidRPr="005B3A69" w:rsidRDefault="006171E5">
      <w:pPr>
        <w:rPr>
          <w:b/>
          <w:bCs/>
        </w:rPr>
      </w:pPr>
      <w:r w:rsidRPr="005B3A69">
        <w:rPr>
          <w:b/>
          <w:bCs/>
        </w:rPr>
        <w:t>Re</w:t>
      </w:r>
      <w:r w:rsidR="00306682" w:rsidRPr="005B3A69">
        <w:rPr>
          <w:b/>
          <w:bCs/>
        </w:rPr>
        <w:t>: TVA Solicitation 99419, “Asset Data Ag</w:t>
      </w:r>
      <w:r w:rsidR="005B3A69" w:rsidRPr="005B3A69">
        <w:rPr>
          <w:b/>
          <w:bCs/>
        </w:rPr>
        <w:t>gregation and Condition Analytics Tools”</w:t>
      </w:r>
    </w:p>
    <w:p w14:paraId="3C8CF349" w14:textId="77777777" w:rsidR="006171E5" w:rsidRPr="005B3A69" w:rsidRDefault="006171E5">
      <w:pPr>
        <w:rPr>
          <w:b/>
          <w:bCs/>
        </w:rPr>
      </w:pPr>
    </w:p>
    <w:p w14:paraId="0E19E85B" w14:textId="4D67E1C0" w:rsidR="00054556" w:rsidRDefault="00054556">
      <w:r>
        <w:t>De</w:t>
      </w:r>
      <w:r w:rsidR="009B3A02">
        <w:t xml:space="preserve">ar Mr. </w:t>
      </w:r>
      <w:r w:rsidR="002765B1">
        <w:t>Kuhnert,</w:t>
      </w:r>
    </w:p>
    <w:p w14:paraId="156D1494" w14:textId="77777777" w:rsidR="00D0009F" w:rsidRDefault="00D0009F" w:rsidP="002E419E">
      <w:pPr>
        <w:pStyle w:val="Body"/>
      </w:pPr>
    </w:p>
    <w:p w14:paraId="1ED46141" w14:textId="2CF7F3FC" w:rsidR="00C6201D" w:rsidRDefault="00C6201D" w:rsidP="002E419E">
      <w:pPr>
        <w:pStyle w:val="Body"/>
      </w:pPr>
      <w:r>
        <w:t>Attached is the Grid Protection Alliance</w:t>
      </w:r>
      <w:r w:rsidR="00F11D9E">
        <w:t>, Inc.</w:t>
      </w:r>
      <w:r w:rsidR="00B64BEA">
        <w:t xml:space="preserve"> </w:t>
      </w:r>
      <w:r w:rsidR="00497049">
        <w:t xml:space="preserve">(GPA) </w:t>
      </w:r>
      <w:r w:rsidR="00B64BEA">
        <w:t xml:space="preserve">response </w:t>
      </w:r>
      <w:r w:rsidR="005B3A69">
        <w:t xml:space="preserve">to the subject TVA </w:t>
      </w:r>
      <w:r w:rsidR="00542EEB">
        <w:t>solicitation</w:t>
      </w:r>
      <w:r w:rsidR="005B3A69">
        <w:t>.</w:t>
      </w:r>
    </w:p>
    <w:p w14:paraId="421C68C4" w14:textId="6F4C1E8C" w:rsidR="009B3A02" w:rsidRDefault="00497049" w:rsidP="002E419E">
      <w:pPr>
        <w:pStyle w:val="Body"/>
      </w:pPr>
      <w:r>
        <w:t>GPA</w:t>
      </w:r>
      <w:r w:rsidR="009B3A02">
        <w:t xml:space="preserve"> acknowledges, to the best of </w:t>
      </w:r>
      <w:r w:rsidR="001E2D8D">
        <w:t>our</w:t>
      </w:r>
      <w:r w:rsidR="009B3A02">
        <w:t xml:space="preserve"> ability and knowledge, the following: </w:t>
      </w:r>
    </w:p>
    <w:p w14:paraId="6D623DBB" w14:textId="77777777" w:rsidR="00497049" w:rsidRDefault="009B3A02" w:rsidP="00BB0246">
      <w:pPr>
        <w:pStyle w:val="NumberedItem"/>
      </w:pPr>
      <w:r>
        <w:t xml:space="preserve">All cost and pricing data submitted in the Proposal and any attachments or addendum are accurate, complete and current. </w:t>
      </w:r>
    </w:p>
    <w:p w14:paraId="423DFA9A" w14:textId="2E7E4BD7" w:rsidR="00BB0246" w:rsidRDefault="0014097A" w:rsidP="0014097A">
      <w:pPr>
        <w:pStyle w:val="NumberedItem"/>
      </w:pPr>
      <w:r>
        <w:t>GPA</w:t>
      </w:r>
      <w:r w:rsidR="009B3A02">
        <w:t xml:space="preserve"> agrees to fully cooperate with TVA during the course of any pre</w:t>
      </w:r>
      <w:r w:rsidR="00542EEB">
        <w:t>-</w:t>
      </w:r>
      <w:r w:rsidR="009B3A02">
        <w:t xml:space="preserve">award audit including providing documentation as requested by TVA. </w:t>
      </w:r>
    </w:p>
    <w:p w14:paraId="38C112D4" w14:textId="047212E4" w:rsidR="00BB0246" w:rsidRDefault="009B3A02" w:rsidP="0014097A">
      <w:pPr>
        <w:pStyle w:val="NumberedItem"/>
      </w:pPr>
      <w:r>
        <w:t xml:space="preserve">TVA assumes no liability to pay </w:t>
      </w:r>
      <w:r w:rsidR="0014097A">
        <w:t>GPA</w:t>
      </w:r>
      <w:r>
        <w:t xml:space="preserve"> any direct, indirect or other costs incurred associated with </w:t>
      </w:r>
      <w:r w:rsidR="0014097A">
        <w:t>GPA</w:t>
      </w:r>
      <w:r>
        <w:t>’s response to this solicitation.</w:t>
      </w:r>
    </w:p>
    <w:p w14:paraId="56EC07EF" w14:textId="39F38B71" w:rsidR="009B3A02" w:rsidRDefault="0014097A" w:rsidP="0014097A">
      <w:pPr>
        <w:pStyle w:val="NumberedItem"/>
      </w:pPr>
      <w:r>
        <w:t>GPA</w:t>
      </w:r>
      <w:r w:rsidR="009B3A02">
        <w:t xml:space="preserve"> has strictly adhered to the terms, protocols and ethical standards established in the solicitation.  </w:t>
      </w:r>
    </w:p>
    <w:p w14:paraId="71698B73" w14:textId="39132220" w:rsidR="009B3A02" w:rsidRDefault="0075022F" w:rsidP="002E419E">
      <w:pPr>
        <w:pStyle w:val="Body"/>
      </w:pPr>
      <w:r>
        <w:t>GPA</w:t>
      </w:r>
      <w:r w:rsidR="009B3A02">
        <w:t xml:space="preserve"> hereby makes the certification set forth in </w:t>
      </w:r>
      <w:r w:rsidR="00CC2548">
        <w:t>the</w:t>
      </w:r>
      <w:r w:rsidR="006171E5">
        <w:t xml:space="preserve"> </w:t>
      </w:r>
      <w:r w:rsidR="00CC2548">
        <w:t xml:space="preserve">solicitation, </w:t>
      </w:r>
      <w:r w:rsidR="009B3A02">
        <w:t xml:space="preserve">subsection b.2 </w:t>
      </w:r>
      <w:r w:rsidR="00D975DD">
        <w:t>of</w:t>
      </w:r>
      <w:r w:rsidR="009B3A02">
        <w:t xml:space="preserve"> the clause entitled “Lobbying” found at http://supplier.tva.gov/html/clauses.htm. </w:t>
      </w:r>
    </w:p>
    <w:p w14:paraId="1C19FBA1" w14:textId="171566B0" w:rsidR="009B3A02" w:rsidRDefault="00890F9B" w:rsidP="002E419E">
      <w:pPr>
        <w:pStyle w:val="Body"/>
      </w:pPr>
      <w:r>
        <w:t>GPA has no e</w:t>
      </w:r>
      <w:r w:rsidR="009B3A02">
        <w:t xml:space="preserve">xceptions </w:t>
      </w:r>
      <w:r>
        <w:t>to the</w:t>
      </w:r>
      <w:r w:rsidR="009B3A02">
        <w:t xml:space="preserve"> contract terms and conditions</w:t>
      </w:r>
      <w:r w:rsidR="00BB6BFE">
        <w:t xml:space="preserve"> as provided in the TVA solicitation.</w:t>
      </w:r>
    </w:p>
    <w:p w14:paraId="6BB89FDF" w14:textId="0409A471" w:rsidR="00D0009F" w:rsidRDefault="00BB6BFE" w:rsidP="002E419E">
      <w:pPr>
        <w:pStyle w:val="Body"/>
      </w:pPr>
      <w:r>
        <w:t xml:space="preserve">GPA is looking forward to this </w:t>
      </w:r>
      <w:r w:rsidR="00930757">
        <w:t xml:space="preserve">project </w:t>
      </w:r>
      <w:r w:rsidR="006636B0">
        <w:t xml:space="preserve">and in working with TVA </w:t>
      </w:r>
      <w:r w:rsidR="00C52245">
        <w:t>to address any addition questions you may have.</w:t>
      </w:r>
    </w:p>
    <w:p w14:paraId="60BBAAB2" w14:textId="1D6BDF44" w:rsidR="00D0009F" w:rsidRDefault="00D0009F" w:rsidP="002E419E">
      <w:pPr>
        <w:pStyle w:val="Body"/>
      </w:pPr>
    </w:p>
    <w:p w14:paraId="4E60F424" w14:textId="77777777" w:rsidR="00666C0E" w:rsidRDefault="00666C0E" w:rsidP="002E419E">
      <w:pPr>
        <w:pStyle w:val="Body"/>
      </w:pPr>
    </w:p>
    <w:p w14:paraId="11B533E4" w14:textId="77777777" w:rsidR="00666C0E" w:rsidRPr="00B8300F" w:rsidRDefault="00666C0E" w:rsidP="00666C0E">
      <w:pPr>
        <w:pStyle w:val="bodysignature"/>
      </w:pPr>
      <w:r w:rsidRPr="00B8300F">
        <w:t>Sincerely,</w:t>
      </w:r>
    </w:p>
    <w:p w14:paraId="6F9466BA" w14:textId="77777777" w:rsidR="00666C0E" w:rsidRPr="00B8300F" w:rsidRDefault="00666C0E" w:rsidP="00666C0E">
      <w:pPr>
        <w:pStyle w:val="bodysignature"/>
      </w:pPr>
      <w:r w:rsidRPr="00B8300F">
        <w:rPr>
          <w:noProof/>
        </w:rPr>
        <w:drawing>
          <wp:inline distT="0" distB="0" distL="0" distR="0" wp14:anchorId="1FA043B9" wp14:editId="6252CC13">
            <wp:extent cx="2080260" cy="396240"/>
            <wp:effectExtent l="19050" t="0" r="0" b="0"/>
            <wp:docPr id="3" name="Picture 2" descr="FRR---Signatur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R---Signature-(transparent)"/>
                    <pic:cNvPicPr>
                      <a:picLocks noChangeAspect="1" noChangeArrowheads="1"/>
                    </pic:cNvPicPr>
                  </pic:nvPicPr>
                  <pic:blipFill>
                    <a:blip r:embed="rId27"/>
                    <a:srcRect/>
                    <a:stretch>
                      <a:fillRect/>
                    </a:stretch>
                  </pic:blipFill>
                  <pic:spPr bwMode="auto">
                    <a:xfrm>
                      <a:off x="0" y="0"/>
                      <a:ext cx="2080260" cy="396240"/>
                    </a:xfrm>
                    <a:prstGeom prst="rect">
                      <a:avLst/>
                    </a:prstGeom>
                    <a:noFill/>
                    <a:ln w="9525">
                      <a:noFill/>
                      <a:miter lim="800000"/>
                      <a:headEnd/>
                      <a:tailEnd/>
                    </a:ln>
                  </pic:spPr>
                </pic:pic>
              </a:graphicData>
            </a:graphic>
          </wp:inline>
        </w:drawing>
      </w:r>
    </w:p>
    <w:p w14:paraId="2B35E78E" w14:textId="77777777" w:rsidR="00666C0E" w:rsidRPr="00B8300F" w:rsidRDefault="00666C0E" w:rsidP="00666C0E">
      <w:pPr>
        <w:pStyle w:val="bodysignature"/>
      </w:pPr>
      <w:r w:rsidRPr="00B8300F">
        <w:t>F. Russell Robertson</w:t>
      </w:r>
    </w:p>
    <w:p w14:paraId="4E010156" w14:textId="77777777" w:rsidR="00666C0E" w:rsidRPr="00B8300F" w:rsidRDefault="00666C0E" w:rsidP="00666C0E">
      <w:pPr>
        <w:pStyle w:val="bodysignature"/>
      </w:pPr>
      <w:r w:rsidRPr="00B8300F">
        <w:t>V</w:t>
      </w:r>
      <w:r>
        <w:t xml:space="preserve">ice </w:t>
      </w:r>
      <w:r w:rsidRPr="00B8300F">
        <w:t>P</w:t>
      </w:r>
      <w:r>
        <w:t>resident</w:t>
      </w:r>
      <w:r w:rsidRPr="00B8300F">
        <w:t>, Grid Solutions</w:t>
      </w:r>
    </w:p>
    <w:p w14:paraId="179D166A" w14:textId="77777777" w:rsidR="00666C0E" w:rsidRPr="00B8300F" w:rsidRDefault="00666C0E" w:rsidP="00666C0E">
      <w:pPr>
        <w:pStyle w:val="bodysignature"/>
      </w:pPr>
      <w:r w:rsidRPr="00B8300F">
        <w:t>Grid Protection Alliance</w:t>
      </w:r>
      <w:r>
        <w:t>, Inc.</w:t>
      </w:r>
    </w:p>
    <w:p w14:paraId="00718FA4" w14:textId="5AFE63E4" w:rsidR="00666C0E" w:rsidRDefault="00666C0E" w:rsidP="00666C0E">
      <w:pPr>
        <w:pStyle w:val="bodysignature"/>
      </w:pPr>
    </w:p>
    <w:p w14:paraId="6C4AFDC3" w14:textId="13F61D2D" w:rsidR="008F1435" w:rsidRDefault="008F1435" w:rsidP="00666C0E">
      <w:pPr>
        <w:pStyle w:val="bodysignature"/>
      </w:pPr>
    </w:p>
    <w:p w14:paraId="63C9FA39" w14:textId="5691435C" w:rsidR="008F1435" w:rsidRDefault="008F1435" w:rsidP="00666C0E">
      <w:pPr>
        <w:pStyle w:val="bodysignature"/>
      </w:pPr>
    </w:p>
    <w:p w14:paraId="5347E90A" w14:textId="780AA46A" w:rsidR="0061306E" w:rsidRDefault="0061306E" w:rsidP="0061306E">
      <w:r>
        <w:t>Mr. Thomas Kuhnert</w:t>
      </w:r>
    </w:p>
    <w:p w14:paraId="6148822A" w14:textId="7CB5917A" w:rsidR="0061306E" w:rsidRDefault="005C1B81" w:rsidP="0061306E">
      <w:r>
        <w:t>January 31, 2020</w:t>
      </w:r>
    </w:p>
    <w:p w14:paraId="30DE0E95" w14:textId="0C797563" w:rsidR="0061306E" w:rsidRDefault="005C1B81" w:rsidP="0061306E">
      <w:r>
        <w:t>Page 2</w:t>
      </w:r>
    </w:p>
    <w:p w14:paraId="2A991AED" w14:textId="4EAAC645" w:rsidR="005C1B81" w:rsidRDefault="005C1B81" w:rsidP="0061306E"/>
    <w:p w14:paraId="08852C8C" w14:textId="77777777" w:rsidR="005C1B81" w:rsidRDefault="005C1B81" w:rsidP="0061306E"/>
    <w:p w14:paraId="1DD1F46B" w14:textId="1F9E0B46" w:rsidR="008F1435" w:rsidRDefault="00E5591A" w:rsidP="00E5591A">
      <w:pPr>
        <w:pStyle w:val="Body"/>
      </w:pPr>
      <w:r>
        <w:t>Attachments:</w:t>
      </w:r>
    </w:p>
    <w:p w14:paraId="7D46119D" w14:textId="70FE76C4" w:rsidR="00E5591A" w:rsidRPr="00D8714D" w:rsidRDefault="00E5591A" w:rsidP="00E5591A">
      <w:pPr>
        <w:pStyle w:val="NumberedItem"/>
        <w:numPr>
          <w:ilvl w:val="0"/>
          <w:numId w:val="0"/>
        </w:numPr>
        <w:tabs>
          <w:tab w:val="left" w:pos="2340"/>
        </w:tabs>
        <w:ind w:left="720"/>
        <w:rPr>
          <w:rFonts w:ascii="Consolas" w:hAnsi="Consolas"/>
          <w:sz w:val="18"/>
          <w:szCs w:val="18"/>
        </w:rPr>
      </w:pPr>
      <w:r>
        <w:t>The GPA Proposal</w:t>
      </w:r>
      <w:r w:rsidR="00B57A6F">
        <w:t xml:space="preserve"> to TVA Solicitation 99419</w:t>
      </w:r>
    </w:p>
    <w:p w14:paraId="0D232D70" w14:textId="1992CD39" w:rsidR="00E5591A" w:rsidRDefault="00E5591A" w:rsidP="00E5591A">
      <w:pPr>
        <w:pStyle w:val="Body"/>
      </w:pPr>
    </w:p>
    <w:p w14:paraId="0CD8464C" w14:textId="04FC8131" w:rsidR="00E5591A" w:rsidRPr="00E5591A" w:rsidRDefault="00E5591A" w:rsidP="00E5591A">
      <w:pPr>
        <w:pStyle w:val="NumberedItem"/>
        <w:numPr>
          <w:ilvl w:val="0"/>
          <w:numId w:val="0"/>
        </w:numPr>
        <w:tabs>
          <w:tab w:val="left" w:pos="2340"/>
        </w:tabs>
        <w:ind w:left="720"/>
        <w:rPr>
          <w:rFonts w:ascii="Consolas" w:hAnsi="Consolas"/>
          <w:sz w:val="18"/>
          <w:szCs w:val="18"/>
          <w:u w:val="single"/>
        </w:rPr>
      </w:pPr>
      <w:bookmarkStart w:id="2" w:name="_Hlk29448636"/>
      <w:r w:rsidRPr="00E5591A">
        <w:rPr>
          <w:u w:val="single"/>
        </w:rPr>
        <w:t>As Separately Submitted Documents to Power Advocate</w:t>
      </w:r>
    </w:p>
    <w:p w14:paraId="2150F59E" w14:textId="5D329BE7" w:rsidR="008F1435" w:rsidRPr="00D8714D" w:rsidRDefault="0061306E" w:rsidP="006E18F4">
      <w:pPr>
        <w:pStyle w:val="NumberedItem"/>
        <w:numPr>
          <w:ilvl w:val="0"/>
          <w:numId w:val="0"/>
        </w:numPr>
        <w:tabs>
          <w:tab w:val="left" w:pos="2340"/>
        </w:tabs>
        <w:ind w:left="720"/>
        <w:rPr>
          <w:rFonts w:ascii="Consolas" w:hAnsi="Consolas"/>
          <w:sz w:val="18"/>
          <w:szCs w:val="18"/>
        </w:rPr>
      </w:pPr>
      <w:bookmarkStart w:id="3" w:name="_Hlk29450117"/>
      <w:bookmarkStart w:id="4" w:name="_Hlk29448557"/>
      <w:r>
        <w:t xml:space="preserve">Attachment 1: </w:t>
      </w:r>
      <w:r w:rsidRPr="00141D9C">
        <w:rPr>
          <w:b/>
          <w:bCs/>
        </w:rPr>
        <w:t>GPA References</w:t>
      </w:r>
      <w:r w:rsidR="00D8714D">
        <w:t xml:space="preserve"> </w:t>
      </w:r>
      <w:r w:rsidR="00D8714D" w:rsidRPr="00D8714D">
        <w:rPr>
          <w:rFonts w:ascii="Consolas" w:hAnsi="Consolas"/>
          <w:i/>
          <w:iCs/>
          <w:sz w:val="18"/>
          <w:szCs w:val="18"/>
        </w:rPr>
        <w:t>(</w:t>
      </w:r>
      <w:r w:rsidR="00D8714D">
        <w:rPr>
          <w:rFonts w:ascii="Consolas" w:hAnsi="Consolas"/>
          <w:i/>
          <w:iCs/>
          <w:sz w:val="18"/>
          <w:szCs w:val="18"/>
        </w:rPr>
        <w:t>1</w:t>
      </w:r>
      <w:r w:rsidR="00141D9C">
        <w:rPr>
          <w:rFonts w:ascii="Consolas" w:hAnsi="Consolas"/>
          <w:i/>
          <w:iCs/>
          <w:sz w:val="18"/>
          <w:szCs w:val="18"/>
        </w:rPr>
        <w:t>-</w:t>
      </w:r>
      <w:r w:rsidR="006E18F4" w:rsidRPr="00D8714D">
        <w:rPr>
          <w:rFonts w:ascii="Consolas" w:hAnsi="Consolas"/>
          <w:i/>
          <w:iCs/>
          <w:sz w:val="18"/>
          <w:szCs w:val="18"/>
        </w:rPr>
        <w:t>GPA References.pdf</w:t>
      </w:r>
      <w:r w:rsidR="00D8714D">
        <w:rPr>
          <w:rFonts w:ascii="Consolas" w:hAnsi="Consolas"/>
          <w:i/>
          <w:iCs/>
          <w:sz w:val="18"/>
          <w:szCs w:val="18"/>
        </w:rPr>
        <w:t>)</w:t>
      </w:r>
    </w:p>
    <w:p w14:paraId="0A1B05C9" w14:textId="38AC6A93" w:rsidR="00D8714D" w:rsidRPr="00D8714D" w:rsidRDefault="0061306E" w:rsidP="00D8714D">
      <w:pPr>
        <w:pStyle w:val="NumberedItem"/>
        <w:numPr>
          <w:ilvl w:val="0"/>
          <w:numId w:val="0"/>
        </w:numPr>
        <w:tabs>
          <w:tab w:val="left" w:pos="2340"/>
        </w:tabs>
        <w:ind w:left="720"/>
        <w:rPr>
          <w:rFonts w:ascii="Consolas" w:hAnsi="Consolas"/>
          <w:sz w:val="18"/>
          <w:szCs w:val="18"/>
        </w:rPr>
      </w:pPr>
      <w:r>
        <w:t xml:space="preserve">Attachment 2: </w:t>
      </w:r>
      <w:r w:rsidR="00D8714D" w:rsidRPr="00141D9C">
        <w:rPr>
          <w:b/>
          <w:bCs/>
        </w:rPr>
        <w:t xml:space="preserve">GPA </w:t>
      </w:r>
      <w:r w:rsidR="00DB0DAB">
        <w:rPr>
          <w:b/>
          <w:bCs/>
        </w:rPr>
        <w:t xml:space="preserve">Prior Year </w:t>
      </w:r>
      <w:r w:rsidRPr="00141D9C">
        <w:rPr>
          <w:b/>
          <w:bCs/>
        </w:rPr>
        <w:t>Financials</w:t>
      </w:r>
      <w:r w:rsidR="00D8714D">
        <w:t xml:space="preserve"> </w:t>
      </w:r>
      <w:r w:rsidR="00D8714D" w:rsidRPr="00D8714D">
        <w:rPr>
          <w:rFonts w:ascii="Consolas" w:hAnsi="Consolas"/>
          <w:i/>
          <w:iCs/>
          <w:sz w:val="18"/>
          <w:szCs w:val="18"/>
        </w:rPr>
        <w:t>(2</w:t>
      </w:r>
      <w:r w:rsidR="00141D9C">
        <w:rPr>
          <w:rFonts w:ascii="Consolas" w:hAnsi="Consolas"/>
          <w:i/>
          <w:iCs/>
          <w:sz w:val="18"/>
          <w:szCs w:val="18"/>
        </w:rPr>
        <w:t>-</w:t>
      </w:r>
      <w:r w:rsidR="00D8714D" w:rsidRPr="00D8714D">
        <w:rPr>
          <w:rFonts w:ascii="Consolas" w:hAnsi="Consolas"/>
          <w:i/>
          <w:iCs/>
          <w:sz w:val="18"/>
          <w:szCs w:val="18"/>
        </w:rPr>
        <w:t>GPA</w:t>
      </w:r>
      <w:r w:rsidR="00DB0DAB">
        <w:rPr>
          <w:rFonts w:ascii="Consolas" w:hAnsi="Consolas"/>
          <w:i/>
          <w:iCs/>
          <w:sz w:val="18"/>
          <w:szCs w:val="18"/>
        </w:rPr>
        <w:t xml:space="preserve"> Financial Statements</w:t>
      </w:r>
      <w:r w:rsidR="00D8714D" w:rsidRPr="00D8714D">
        <w:rPr>
          <w:rFonts w:ascii="Consolas" w:hAnsi="Consolas"/>
          <w:i/>
          <w:iCs/>
          <w:sz w:val="18"/>
          <w:szCs w:val="18"/>
        </w:rPr>
        <w:t>.pdf</w:t>
      </w:r>
      <w:r w:rsidR="00D8714D">
        <w:rPr>
          <w:rFonts w:ascii="Consolas" w:hAnsi="Consolas"/>
          <w:i/>
          <w:iCs/>
          <w:sz w:val="18"/>
          <w:szCs w:val="18"/>
        </w:rPr>
        <w:t>)</w:t>
      </w:r>
    </w:p>
    <w:p w14:paraId="0DA511A7" w14:textId="04758B71" w:rsidR="00D8714D" w:rsidRPr="00D8714D" w:rsidRDefault="0061306E" w:rsidP="00D8714D">
      <w:pPr>
        <w:pStyle w:val="NumberedItem"/>
        <w:numPr>
          <w:ilvl w:val="0"/>
          <w:numId w:val="0"/>
        </w:numPr>
        <w:tabs>
          <w:tab w:val="left" w:pos="2340"/>
        </w:tabs>
        <w:ind w:left="720"/>
        <w:rPr>
          <w:rFonts w:ascii="Consolas" w:hAnsi="Consolas"/>
          <w:sz w:val="18"/>
          <w:szCs w:val="18"/>
        </w:rPr>
      </w:pPr>
      <w:r>
        <w:t xml:space="preserve">Attachment 3: </w:t>
      </w:r>
      <w:r w:rsidRPr="00141D9C">
        <w:rPr>
          <w:b/>
          <w:bCs/>
        </w:rPr>
        <w:t>GPA Resumes</w:t>
      </w:r>
      <w:r w:rsidR="00D8714D">
        <w:t xml:space="preserve"> </w:t>
      </w:r>
      <w:r w:rsidR="00D8714D" w:rsidRPr="00D8714D">
        <w:rPr>
          <w:rFonts w:ascii="Consolas" w:hAnsi="Consolas"/>
          <w:i/>
          <w:iCs/>
          <w:sz w:val="18"/>
          <w:szCs w:val="18"/>
        </w:rPr>
        <w:t>(3</w:t>
      </w:r>
      <w:r w:rsidR="00141D9C">
        <w:rPr>
          <w:rFonts w:ascii="Consolas" w:hAnsi="Consolas"/>
          <w:i/>
          <w:iCs/>
          <w:sz w:val="18"/>
          <w:szCs w:val="18"/>
        </w:rPr>
        <w:t>-</w:t>
      </w:r>
      <w:r w:rsidR="00D8714D" w:rsidRPr="00D8714D">
        <w:rPr>
          <w:rFonts w:ascii="Consolas" w:hAnsi="Consolas"/>
          <w:i/>
          <w:iCs/>
          <w:sz w:val="18"/>
          <w:szCs w:val="18"/>
        </w:rPr>
        <w:t>GPA Re</w:t>
      </w:r>
      <w:r w:rsidR="00A90060">
        <w:rPr>
          <w:rFonts w:ascii="Consolas" w:hAnsi="Consolas"/>
          <w:i/>
          <w:iCs/>
          <w:sz w:val="18"/>
          <w:szCs w:val="18"/>
        </w:rPr>
        <w:t>sumes</w:t>
      </w:r>
      <w:r w:rsidR="00D8714D" w:rsidRPr="00D8714D">
        <w:rPr>
          <w:rFonts w:ascii="Consolas" w:hAnsi="Consolas"/>
          <w:i/>
          <w:iCs/>
          <w:sz w:val="18"/>
          <w:szCs w:val="18"/>
        </w:rPr>
        <w:t>.pdf</w:t>
      </w:r>
      <w:r w:rsidR="00D8714D">
        <w:rPr>
          <w:rFonts w:ascii="Consolas" w:hAnsi="Consolas"/>
          <w:i/>
          <w:iCs/>
          <w:sz w:val="18"/>
          <w:szCs w:val="18"/>
        </w:rPr>
        <w:t>)</w:t>
      </w:r>
    </w:p>
    <w:p w14:paraId="5E172C0E" w14:textId="51DA5A47" w:rsidR="00D8714D" w:rsidRPr="00D8714D" w:rsidRDefault="0061306E" w:rsidP="00D8714D">
      <w:pPr>
        <w:pStyle w:val="NumberedItem"/>
        <w:numPr>
          <w:ilvl w:val="0"/>
          <w:numId w:val="0"/>
        </w:numPr>
        <w:tabs>
          <w:tab w:val="left" w:pos="2340"/>
        </w:tabs>
        <w:ind w:left="720"/>
        <w:rPr>
          <w:rFonts w:ascii="Consolas" w:hAnsi="Consolas"/>
          <w:sz w:val="18"/>
          <w:szCs w:val="18"/>
        </w:rPr>
      </w:pPr>
      <w:r>
        <w:t xml:space="preserve">Attachment 4: </w:t>
      </w:r>
      <w:r w:rsidR="00A77976" w:rsidRPr="00182D50">
        <w:rPr>
          <w:b/>
          <w:bCs/>
        </w:rPr>
        <w:t xml:space="preserve">GPA </w:t>
      </w:r>
      <w:r w:rsidRPr="00141D9C">
        <w:rPr>
          <w:b/>
          <w:bCs/>
        </w:rPr>
        <w:t>Detailed Staffing Plan</w:t>
      </w:r>
      <w:r w:rsidR="00D8714D">
        <w:t xml:space="preserve"> </w:t>
      </w:r>
      <w:r w:rsidR="00D8714D" w:rsidRPr="00D8714D">
        <w:rPr>
          <w:rFonts w:ascii="Consolas" w:hAnsi="Consolas"/>
          <w:i/>
          <w:iCs/>
          <w:sz w:val="18"/>
          <w:szCs w:val="18"/>
        </w:rPr>
        <w:t>(</w:t>
      </w:r>
      <w:r w:rsidR="00141D9C">
        <w:rPr>
          <w:rFonts w:ascii="Consolas" w:hAnsi="Consolas"/>
          <w:i/>
          <w:iCs/>
          <w:sz w:val="18"/>
          <w:szCs w:val="18"/>
        </w:rPr>
        <w:t>4-</w:t>
      </w:r>
      <w:r w:rsidR="00D8714D" w:rsidRPr="00D8714D">
        <w:rPr>
          <w:rFonts w:ascii="Consolas" w:hAnsi="Consolas"/>
          <w:i/>
          <w:iCs/>
          <w:sz w:val="18"/>
          <w:szCs w:val="18"/>
        </w:rPr>
        <w:t xml:space="preserve">GPA </w:t>
      </w:r>
      <w:r w:rsidR="00D8714D">
        <w:rPr>
          <w:rFonts w:ascii="Consolas" w:hAnsi="Consolas"/>
          <w:i/>
          <w:iCs/>
          <w:sz w:val="18"/>
          <w:szCs w:val="18"/>
        </w:rPr>
        <w:t>Staffing Plan</w:t>
      </w:r>
      <w:r w:rsidR="00D8714D" w:rsidRPr="00D8714D">
        <w:rPr>
          <w:rFonts w:ascii="Consolas" w:hAnsi="Consolas"/>
          <w:i/>
          <w:iCs/>
          <w:sz w:val="18"/>
          <w:szCs w:val="18"/>
        </w:rPr>
        <w:t>.pdf</w:t>
      </w:r>
      <w:r w:rsidR="00D8714D">
        <w:rPr>
          <w:rFonts w:ascii="Consolas" w:hAnsi="Consolas"/>
          <w:i/>
          <w:iCs/>
          <w:sz w:val="18"/>
          <w:szCs w:val="18"/>
        </w:rPr>
        <w:t>)</w:t>
      </w:r>
    </w:p>
    <w:p w14:paraId="451C0855" w14:textId="4CD069A1" w:rsidR="0061306E" w:rsidRDefault="0061306E" w:rsidP="006E18F4">
      <w:pPr>
        <w:pStyle w:val="NumberedItem"/>
        <w:numPr>
          <w:ilvl w:val="0"/>
          <w:numId w:val="0"/>
        </w:numPr>
        <w:tabs>
          <w:tab w:val="left" w:pos="2340"/>
        </w:tabs>
        <w:ind w:left="720"/>
      </w:pPr>
      <w:r>
        <w:t xml:space="preserve">Attachment 5: </w:t>
      </w:r>
      <w:r w:rsidRPr="00141D9C">
        <w:rPr>
          <w:b/>
          <w:bCs/>
        </w:rPr>
        <w:t>GPA Response to</w:t>
      </w:r>
      <w:r w:rsidR="00182D50">
        <w:rPr>
          <w:b/>
          <w:bCs/>
        </w:rPr>
        <w:t xml:space="preserve"> the</w:t>
      </w:r>
      <w:r w:rsidRPr="00141D9C">
        <w:rPr>
          <w:b/>
          <w:bCs/>
        </w:rPr>
        <w:t xml:space="preserve"> </w:t>
      </w:r>
      <w:r w:rsidR="005C61F2">
        <w:rPr>
          <w:b/>
          <w:bCs/>
        </w:rPr>
        <w:t xml:space="preserve">TVA </w:t>
      </w:r>
      <w:r w:rsidRPr="00141D9C">
        <w:rPr>
          <w:b/>
          <w:bCs/>
        </w:rPr>
        <w:t>Requirements</w:t>
      </w:r>
      <w:r w:rsidR="005C61F2">
        <w:rPr>
          <w:b/>
          <w:bCs/>
        </w:rPr>
        <w:t xml:space="preserve"> Workbook</w:t>
      </w:r>
      <w:r w:rsidR="00D8714D">
        <w:br/>
      </w:r>
      <w:r w:rsidR="00D8714D">
        <w:tab/>
      </w:r>
      <w:r w:rsidR="00D8714D" w:rsidRPr="00D8714D">
        <w:rPr>
          <w:rFonts w:ascii="Consolas" w:hAnsi="Consolas"/>
          <w:i/>
          <w:iCs/>
          <w:sz w:val="18"/>
          <w:szCs w:val="18"/>
        </w:rPr>
        <w:t>(</w:t>
      </w:r>
      <w:r w:rsidR="00D8714D">
        <w:rPr>
          <w:rFonts w:ascii="Consolas" w:hAnsi="Consolas"/>
          <w:i/>
          <w:iCs/>
          <w:sz w:val="18"/>
          <w:szCs w:val="18"/>
        </w:rPr>
        <w:t>5</w:t>
      </w:r>
      <w:r w:rsidR="00141D9C">
        <w:rPr>
          <w:rFonts w:ascii="Consolas" w:hAnsi="Consolas"/>
          <w:i/>
          <w:iCs/>
          <w:sz w:val="18"/>
          <w:szCs w:val="18"/>
        </w:rPr>
        <w:t>-</w:t>
      </w:r>
      <w:r w:rsidR="00D8714D" w:rsidRPr="00D8714D">
        <w:rPr>
          <w:rFonts w:ascii="Consolas" w:hAnsi="Consolas"/>
          <w:i/>
          <w:iCs/>
          <w:sz w:val="18"/>
          <w:szCs w:val="18"/>
        </w:rPr>
        <w:t xml:space="preserve">GPA </w:t>
      </w:r>
      <w:r w:rsidR="00D8714D">
        <w:rPr>
          <w:rFonts w:ascii="Consolas" w:hAnsi="Consolas"/>
          <w:i/>
          <w:iCs/>
          <w:sz w:val="18"/>
          <w:szCs w:val="18"/>
        </w:rPr>
        <w:t xml:space="preserve">Functional </w:t>
      </w:r>
      <w:r w:rsidR="00384587">
        <w:rPr>
          <w:rFonts w:ascii="Consolas" w:hAnsi="Consolas"/>
          <w:i/>
          <w:iCs/>
          <w:sz w:val="18"/>
          <w:szCs w:val="18"/>
        </w:rPr>
        <w:t>and</w:t>
      </w:r>
      <w:r w:rsidR="00D8714D">
        <w:rPr>
          <w:rFonts w:ascii="Consolas" w:hAnsi="Consolas"/>
          <w:i/>
          <w:iCs/>
          <w:sz w:val="18"/>
          <w:szCs w:val="18"/>
        </w:rPr>
        <w:t xml:space="preserve"> Technical Reqmts</w:t>
      </w:r>
      <w:r w:rsidR="00A656F2">
        <w:rPr>
          <w:rFonts w:ascii="Consolas" w:hAnsi="Consolas"/>
          <w:i/>
          <w:iCs/>
          <w:sz w:val="18"/>
          <w:szCs w:val="18"/>
        </w:rPr>
        <w:t>.xlsx</w:t>
      </w:r>
      <w:r w:rsidR="00D8714D">
        <w:rPr>
          <w:rFonts w:ascii="Consolas" w:hAnsi="Consolas"/>
          <w:i/>
          <w:iCs/>
          <w:sz w:val="18"/>
          <w:szCs w:val="18"/>
        </w:rPr>
        <w:t>)</w:t>
      </w:r>
    </w:p>
    <w:p w14:paraId="76BD5586" w14:textId="0A077112" w:rsidR="0061306E" w:rsidRDefault="0061306E" w:rsidP="006E18F4">
      <w:pPr>
        <w:pStyle w:val="NumberedItem"/>
        <w:numPr>
          <w:ilvl w:val="0"/>
          <w:numId w:val="0"/>
        </w:numPr>
        <w:tabs>
          <w:tab w:val="left" w:pos="2340"/>
        </w:tabs>
        <w:ind w:left="720"/>
      </w:pPr>
      <w:r>
        <w:t xml:space="preserve">Attachment 6: </w:t>
      </w:r>
      <w:r w:rsidRPr="00141D9C">
        <w:rPr>
          <w:b/>
          <w:bCs/>
        </w:rPr>
        <w:t xml:space="preserve">GPA Response to </w:t>
      </w:r>
      <w:r w:rsidR="00182D50">
        <w:rPr>
          <w:b/>
          <w:bCs/>
        </w:rPr>
        <w:t xml:space="preserve">the </w:t>
      </w:r>
      <w:r w:rsidR="00A77976">
        <w:rPr>
          <w:b/>
          <w:bCs/>
        </w:rPr>
        <w:t xml:space="preserve">TVA </w:t>
      </w:r>
      <w:r w:rsidRPr="00141D9C">
        <w:rPr>
          <w:b/>
          <w:bCs/>
        </w:rPr>
        <w:t>Work Requirements</w:t>
      </w:r>
      <w:r w:rsidR="00D8714D" w:rsidRPr="00A77976">
        <w:rPr>
          <w:b/>
          <w:bCs/>
        </w:rPr>
        <w:t xml:space="preserve"> </w:t>
      </w:r>
      <w:r w:rsidR="00A77976" w:rsidRPr="00A77976">
        <w:rPr>
          <w:b/>
          <w:bCs/>
        </w:rPr>
        <w:t>Document</w:t>
      </w:r>
      <w:r w:rsidR="00A77976">
        <w:br/>
      </w:r>
      <w:r w:rsidR="00A77976">
        <w:rPr>
          <w:rFonts w:ascii="Consolas" w:hAnsi="Consolas"/>
          <w:i/>
          <w:iCs/>
          <w:sz w:val="18"/>
          <w:szCs w:val="18"/>
        </w:rPr>
        <w:t xml:space="preserve"> </w:t>
      </w:r>
      <w:r w:rsidR="00A77976">
        <w:rPr>
          <w:rFonts w:ascii="Consolas" w:hAnsi="Consolas"/>
          <w:i/>
          <w:iCs/>
          <w:sz w:val="18"/>
          <w:szCs w:val="18"/>
        </w:rPr>
        <w:tab/>
      </w:r>
      <w:r w:rsidR="00D8714D" w:rsidRPr="00D8714D">
        <w:rPr>
          <w:rFonts w:ascii="Consolas" w:hAnsi="Consolas"/>
          <w:i/>
          <w:iCs/>
          <w:sz w:val="18"/>
          <w:szCs w:val="18"/>
        </w:rPr>
        <w:t>(</w:t>
      </w:r>
      <w:r w:rsidR="00D8714D">
        <w:rPr>
          <w:rFonts w:ascii="Consolas" w:hAnsi="Consolas"/>
          <w:i/>
          <w:iCs/>
          <w:sz w:val="18"/>
          <w:szCs w:val="18"/>
        </w:rPr>
        <w:t>6</w:t>
      </w:r>
      <w:r w:rsidR="00141D9C">
        <w:rPr>
          <w:rFonts w:ascii="Consolas" w:hAnsi="Consolas"/>
          <w:i/>
          <w:iCs/>
          <w:sz w:val="18"/>
          <w:szCs w:val="18"/>
        </w:rPr>
        <w:t>-</w:t>
      </w:r>
      <w:r w:rsidR="00D8714D" w:rsidRPr="00D8714D">
        <w:rPr>
          <w:rFonts w:ascii="Consolas" w:hAnsi="Consolas"/>
          <w:i/>
          <w:iCs/>
          <w:sz w:val="18"/>
          <w:szCs w:val="18"/>
        </w:rPr>
        <w:t xml:space="preserve">GPA </w:t>
      </w:r>
      <w:r w:rsidR="00D8714D">
        <w:rPr>
          <w:rFonts w:ascii="Consolas" w:hAnsi="Consolas"/>
          <w:i/>
          <w:iCs/>
          <w:sz w:val="18"/>
          <w:szCs w:val="18"/>
        </w:rPr>
        <w:t>Work Reqmts</w:t>
      </w:r>
      <w:r w:rsidR="00D8714D" w:rsidRPr="00D8714D">
        <w:rPr>
          <w:rFonts w:ascii="Consolas" w:hAnsi="Consolas"/>
          <w:i/>
          <w:iCs/>
          <w:sz w:val="18"/>
          <w:szCs w:val="18"/>
        </w:rPr>
        <w:t>.</w:t>
      </w:r>
      <w:r w:rsidR="001A458C">
        <w:rPr>
          <w:rFonts w:ascii="Consolas" w:hAnsi="Consolas"/>
          <w:i/>
          <w:iCs/>
          <w:sz w:val="18"/>
          <w:szCs w:val="18"/>
        </w:rPr>
        <w:t>docx</w:t>
      </w:r>
      <w:r w:rsidR="00D8714D">
        <w:rPr>
          <w:rFonts w:ascii="Consolas" w:hAnsi="Consolas"/>
          <w:i/>
          <w:iCs/>
          <w:sz w:val="18"/>
          <w:szCs w:val="18"/>
        </w:rPr>
        <w:t>)</w:t>
      </w:r>
    </w:p>
    <w:p w14:paraId="19437AF7" w14:textId="7C0426D1" w:rsidR="0061306E" w:rsidRDefault="0061306E" w:rsidP="006E18F4">
      <w:pPr>
        <w:pStyle w:val="NumberedItem"/>
        <w:numPr>
          <w:ilvl w:val="0"/>
          <w:numId w:val="0"/>
        </w:numPr>
        <w:tabs>
          <w:tab w:val="left" w:pos="2340"/>
        </w:tabs>
        <w:ind w:left="720"/>
      </w:pPr>
      <w:r>
        <w:t xml:space="preserve">Attachment 7: </w:t>
      </w:r>
      <w:r w:rsidRPr="00141D9C">
        <w:rPr>
          <w:b/>
          <w:bCs/>
        </w:rPr>
        <w:t xml:space="preserve">GPA Response to </w:t>
      </w:r>
      <w:r w:rsidR="00182D50">
        <w:rPr>
          <w:b/>
          <w:bCs/>
        </w:rPr>
        <w:t xml:space="preserve">the </w:t>
      </w:r>
      <w:r w:rsidR="00A77976">
        <w:rPr>
          <w:b/>
          <w:bCs/>
        </w:rPr>
        <w:t xml:space="preserve">TVA </w:t>
      </w:r>
      <w:r w:rsidRPr="00141D9C">
        <w:rPr>
          <w:b/>
          <w:bCs/>
        </w:rPr>
        <w:t xml:space="preserve">O&amp;M </w:t>
      </w:r>
      <w:r w:rsidR="00A656F2">
        <w:rPr>
          <w:b/>
          <w:bCs/>
        </w:rPr>
        <w:t>Service</w:t>
      </w:r>
      <w:r w:rsidRPr="00141D9C">
        <w:rPr>
          <w:b/>
          <w:bCs/>
        </w:rPr>
        <w:t xml:space="preserve"> Requirements</w:t>
      </w:r>
      <w:r w:rsidR="00A77976">
        <w:rPr>
          <w:b/>
          <w:bCs/>
        </w:rPr>
        <w:t xml:space="preserve"> Document</w:t>
      </w:r>
      <w:r w:rsidR="00D8714D">
        <w:br/>
      </w:r>
      <w:r w:rsidR="00D8714D">
        <w:tab/>
      </w:r>
      <w:r w:rsidR="00D8714D">
        <w:rPr>
          <w:rFonts w:ascii="Consolas" w:hAnsi="Consolas"/>
          <w:i/>
          <w:iCs/>
          <w:sz w:val="18"/>
          <w:szCs w:val="18"/>
        </w:rPr>
        <w:t>(7</w:t>
      </w:r>
      <w:r w:rsidR="00141D9C">
        <w:rPr>
          <w:rFonts w:ascii="Consolas" w:hAnsi="Consolas"/>
          <w:i/>
          <w:iCs/>
          <w:sz w:val="18"/>
          <w:szCs w:val="18"/>
        </w:rPr>
        <w:t>-</w:t>
      </w:r>
      <w:r w:rsidR="00D8714D" w:rsidRPr="00D8714D">
        <w:rPr>
          <w:rFonts w:ascii="Consolas" w:hAnsi="Consolas"/>
          <w:i/>
          <w:iCs/>
          <w:sz w:val="18"/>
          <w:szCs w:val="18"/>
        </w:rPr>
        <w:t xml:space="preserve">GPA </w:t>
      </w:r>
      <w:r w:rsidR="00D8714D">
        <w:rPr>
          <w:rFonts w:ascii="Consolas" w:hAnsi="Consolas"/>
          <w:i/>
          <w:iCs/>
          <w:sz w:val="18"/>
          <w:szCs w:val="18"/>
        </w:rPr>
        <w:t xml:space="preserve">OM </w:t>
      </w:r>
      <w:r w:rsidR="00A656F2">
        <w:rPr>
          <w:rFonts w:ascii="Consolas" w:hAnsi="Consolas"/>
          <w:i/>
          <w:iCs/>
          <w:sz w:val="18"/>
          <w:szCs w:val="18"/>
        </w:rPr>
        <w:t>Service</w:t>
      </w:r>
      <w:r w:rsidR="00D8714D">
        <w:rPr>
          <w:rFonts w:ascii="Consolas" w:hAnsi="Consolas"/>
          <w:i/>
          <w:iCs/>
          <w:sz w:val="18"/>
          <w:szCs w:val="18"/>
        </w:rPr>
        <w:t xml:space="preserve"> Reqmts</w:t>
      </w:r>
      <w:r w:rsidR="00D8714D" w:rsidRPr="00D8714D">
        <w:rPr>
          <w:rFonts w:ascii="Consolas" w:hAnsi="Consolas"/>
          <w:i/>
          <w:iCs/>
          <w:sz w:val="18"/>
          <w:szCs w:val="18"/>
        </w:rPr>
        <w:t>.</w:t>
      </w:r>
      <w:r w:rsidR="00A656F2">
        <w:rPr>
          <w:rFonts w:ascii="Consolas" w:hAnsi="Consolas"/>
          <w:i/>
          <w:iCs/>
          <w:sz w:val="18"/>
          <w:szCs w:val="18"/>
        </w:rPr>
        <w:t>docx</w:t>
      </w:r>
      <w:r w:rsidR="00D8714D">
        <w:rPr>
          <w:rFonts w:ascii="Consolas" w:hAnsi="Consolas"/>
          <w:i/>
          <w:iCs/>
          <w:sz w:val="18"/>
          <w:szCs w:val="18"/>
        </w:rPr>
        <w:t>)</w:t>
      </w:r>
    </w:p>
    <w:p w14:paraId="1CABB3A3" w14:textId="59740FEA" w:rsidR="0061306E" w:rsidRDefault="0061306E" w:rsidP="006E18F4">
      <w:pPr>
        <w:pStyle w:val="NumberedItem"/>
        <w:numPr>
          <w:ilvl w:val="0"/>
          <w:numId w:val="0"/>
        </w:numPr>
        <w:tabs>
          <w:tab w:val="left" w:pos="2340"/>
        </w:tabs>
        <w:ind w:left="720"/>
      </w:pPr>
      <w:r>
        <w:t xml:space="preserve">Attachment 8: </w:t>
      </w:r>
      <w:r w:rsidR="00182D50" w:rsidRPr="00182D50">
        <w:rPr>
          <w:b/>
          <w:bCs/>
        </w:rPr>
        <w:t xml:space="preserve">GPA </w:t>
      </w:r>
      <w:r w:rsidRPr="00182D50">
        <w:rPr>
          <w:b/>
          <w:bCs/>
        </w:rPr>
        <w:t>P</w:t>
      </w:r>
      <w:r w:rsidRPr="00141D9C">
        <w:rPr>
          <w:b/>
          <w:bCs/>
        </w:rPr>
        <w:t>roject Schedule</w:t>
      </w:r>
      <w:r w:rsidR="00D8714D">
        <w:t xml:space="preserve"> </w:t>
      </w:r>
      <w:r w:rsidR="00D8714D" w:rsidRPr="00D8714D">
        <w:rPr>
          <w:rFonts w:ascii="Consolas" w:hAnsi="Consolas"/>
          <w:i/>
          <w:iCs/>
          <w:sz w:val="18"/>
          <w:szCs w:val="18"/>
        </w:rPr>
        <w:t>(</w:t>
      </w:r>
      <w:r w:rsidR="00D8714D">
        <w:rPr>
          <w:rFonts w:ascii="Consolas" w:hAnsi="Consolas"/>
          <w:i/>
          <w:iCs/>
          <w:sz w:val="18"/>
          <w:szCs w:val="18"/>
        </w:rPr>
        <w:t>8</w:t>
      </w:r>
      <w:r w:rsidR="00141D9C">
        <w:rPr>
          <w:rFonts w:ascii="Consolas" w:hAnsi="Consolas"/>
          <w:i/>
          <w:iCs/>
          <w:sz w:val="18"/>
          <w:szCs w:val="18"/>
        </w:rPr>
        <w:t>-</w:t>
      </w:r>
      <w:r w:rsidR="00D8714D" w:rsidRPr="00D8714D">
        <w:rPr>
          <w:rFonts w:ascii="Consolas" w:hAnsi="Consolas"/>
          <w:i/>
          <w:iCs/>
          <w:sz w:val="18"/>
          <w:szCs w:val="18"/>
        </w:rPr>
        <w:t xml:space="preserve">GPA </w:t>
      </w:r>
      <w:r w:rsidR="00D8714D">
        <w:rPr>
          <w:rFonts w:ascii="Consolas" w:hAnsi="Consolas"/>
          <w:i/>
          <w:iCs/>
          <w:sz w:val="18"/>
          <w:szCs w:val="18"/>
        </w:rPr>
        <w:t xml:space="preserve">Project </w:t>
      </w:r>
      <w:proofErr w:type="spellStart"/>
      <w:r w:rsidR="00D8714D">
        <w:rPr>
          <w:rFonts w:ascii="Consolas" w:hAnsi="Consolas"/>
          <w:i/>
          <w:iCs/>
          <w:sz w:val="18"/>
          <w:szCs w:val="18"/>
        </w:rPr>
        <w:t>Schedule</w:t>
      </w:r>
      <w:r w:rsidR="00D8714D" w:rsidRPr="00D8714D">
        <w:rPr>
          <w:rFonts w:ascii="Consolas" w:hAnsi="Consolas"/>
          <w:i/>
          <w:iCs/>
          <w:sz w:val="18"/>
          <w:szCs w:val="18"/>
        </w:rPr>
        <w:t>.</w:t>
      </w:r>
      <w:r w:rsidR="00910907">
        <w:rPr>
          <w:rFonts w:ascii="Consolas" w:hAnsi="Consolas"/>
          <w:i/>
          <w:iCs/>
          <w:sz w:val="18"/>
          <w:szCs w:val="18"/>
        </w:rPr>
        <w:t>mpp</w:t>
      </w:r>
      <w:proofErr w:type="spellEnd"/>
      <w:r w:rsidR="00D8714D">
        <w:rPr>
          <w:rFonts w:ascii="Consolas" w:hAnsi="Consolas"/>
          <w:i/>
          <w:iCs/>
          <w:sz w:val="18"/>
          <w:szCs w:val="18"/>
        </w:rPr>
        <w:t>)</w:t>
      </w:r>
    </w:p>
    <w:p w14:paraId="193C9E77" w14:textId="77777777" w:rsidR="008013CB" w:rsidRPr="00141D9C" w:rsidRDefault="008013CB" w:rsidP="008013CB">
      <w:pPr>
        <w:pStyle w:val="NumberedItem"/>
        <w:numPr>
          <w:ilvl w:val="0"/>
          <w:numId w:val="0"/>
        </w:numPr>
        <w:tabs>
          <w:tab w:val="left" w:pos="2340"/>
        </w:tabs>
        <w:ind w:left="720"/>
        <w:rPr>
          <w:rFonts w:ascii="Consolas" w:hAnsi="Consolas"/>
          <w:i/>
          <w:iCs/>
          <w:sz w:val="18"/>
          <w:szCs w:val="18"/>
        </w:rPr>
      </w:pPr>
      <w:r>
        <w:t xml:space="preserve">Attachment 9: </w:t>
      </w:r>
      <w:r w:rsidRPr="00141D9C">
        <w:rPr>
          <w:b/>
          <w:bCs/>
        </w:rPr>
        <w:t>Signed Solicitation Amendment Notices</w:t>
      </w:r>
      <w:r>
        <w:br/>
      </w:r>
      <w:r>
        <w:tab/>
      </w:r>
      <w:r w:rsidRPr="00141D9C">
        <w:rPr>
          <w:rFonts w:ascii="Consolas" w:hAnsi="Consolas"/>
          <w:i/>
          <w:iCs/>
          <w:sz w:val="18"/>
          <w:szCs w:val="18"/>
        </w:rPr>
        <w:t>(</w:t>
      </w:r>
      <w:r>
        <w:rPr>
          <w:rFonts w:ascii="Consolas" w:hAnsi="Consolas"/>
          <w:i/>
          <w:iCs/>
          <w:sz w:val="18"/>
          <w:szCs w:val="18"/>
        </w:rPr>
        <w:t>9-</w:t>
      </w:r>
      <w:r w:rsidRPr="00141D9C">
        <w:rPr>
          <w:rFonts w:ascii="Consolas" w:hAnsi="Consolas"/>
          <w:i/>
          <w:iCs/>
          <w:sz w:val="18"/>
          <w:szCs w:val="18"/>
        </w:rPr>
        <w:t>GPA Signed Ammendments.pdf)</w:t>
      </w:r>
    </w:p>
    <w:p w14:paraId="3DDBAED1" w14:textId="1A1000BE" w:rsidR="005C1B81" w:rsidRDefault="005C1B81" w:rsidP="006E18F4">
      <w:pPr>
        <w:pStyle w:val="NumberedItem"/>
        <w:numPr>
          <w:ilvl w:val="0"/>
          <w:numId w:val="0"/>
        </w:numPr>
        <w:tabs>
          <w:tab w:val="left" w:pos="2340"/>
        </w:tabs>
        <w:ind w:left="720"/>
        <w:rPr>
          <w:rFonts w:ascii="Consolas" w:hAnsi="Consolas"/>
          <w:i/>
          <w:iCs/>
          <w:sz w:val="18"/>
          <w:szCs w:val="18"/>
        </w:rPr>
      </w:pPr>
      <w:r>
        <w:t xml:space="preserve">Attachment 10: </w:t>
      </w:r>
      <w:r w:rsidRPr="00141D9C">
        <w:rPr>
          <w:b/>
          <w:bCs/>
        </w:rPr>
        <w:t>GPA Certificates of Insurance</w:t>
      </w:r>
      <w:r w:rsidR="00141D9C">
        <w:t xml:space="preserve"> </w:t>
      </w:r>
      <w:r w:rsidR="00141D9C" w:rsidRPr="00D8714D">
        <w:rPr>
          <w:rFonts w:ascii="Consolas" w:hAnsi="Consolas"/>
          <w:i/>
          <w:iCs/>
          <w:sz w:val="18"/>
          <w:szCs w:val="18"/>
        </w:rPr>
        <w:t>(</w:t>
      </w:r>
      <w:r w:rsidR="00141D9C">
        <w:rPr>
          <w:rFonts w:ascii="Consolas" w:hAnsi="Consolas"/>
          <w:i/>
          <w:iCs/>
          <w:sz w:val="18"/>
          <w:szCs w:val="18"/>
        </w:rPr>
        <w:t>10-</w:t>
      </w:r>
      <w:r w:rsidR="00141D9C" w:rsidRPr="00D8714D">
        <w:rPr>
          <w:rFonts w:ascii="Consolas" w:hAnsi="Consolas"/>
          <w:i/>
          <w:iCs/>
          <w:sz w:val="18"/>
          <w:szCs w:val="18"/>
        </w:rPr>
        <w:t xml:space="preserve">GPA </w:t>
      </w:r>
      <w:r w:rsidR="00141D9C">
        <w:rPr>
          <w:rFonts w:ascii="Consolas" w:hAnsi="Consolas"/>
          <w:i/>
          <w:iCs/>
          <w:sz w:val="18"/>
          <w:szCs w:val="18"/>
        </w:rPr>
        <w:t>Insurance Certificates</w:t>
      </w:r>
      <w:r w:rsidR="00141D9C" w:rsidRPr="00D8714D">
        <w:rPr>
          <w:rFonts w:ascii="Consolas" w:hAnsi="Consolas"/>
          <w:i/>
          <w:iCs/>
          <w:sz w:val="18"/>
          <w:szCs w:val="18"/>
        </w:rPr>
        <w:t>.pdf</w:t>
      </w:r>
      <w:r w:rsidR="00141D9C">
        <w:rPr>
          <w:rFonts w:ascii="Consolas" w:hAnsi="Consolas"/>
          <w:i/>
          <w:iCs/>
          <w:sz w:val="18"/>
          <w:szCs w:val="18"/>
        </w:rPr>
        <w:t>)</w:t>
      </w:r>
    </w:p>
    <w:p w14:paraId="464AA340" w14:textId="61A8E6AE" w:rsidR="00DB0DAB" w:rsidRDefault="00DB0DAB" w:rsidP="008013CB">
      <w:pPr>
        <w:pStyle w:val="NumberedItem"/>
        <w:numPr>
          <w:ilvl w:val="0"/>
          <w:numId w:val="0"/>
        </w:numPr>
        <w:tabs>
          <w:tab w:val="left" w:pos="2340"/>
        </w:tabs>
        <w:ind w:left="720"/>
        <w:rPr>
          <w:rFonts w:ascii="Consolas" w:hAnsi="Consolas"/>
          <w:i/>
          <w:iCs/>
          <w:sz w:val="18"/>
          <w:szCs w:val="18"/>
        </w:rPr>
      </w:pPr>
      <w:r>
        <w:t xml:space="preserve">Attachment 11: </w:t>
      </w:r>
      <w:r>
        <w:rPr>
          <w:b/>
          <w:bCs/>
        </w:rPr>
        <w:t>GPA Proposed Costs</w:t>
      </w:r>
      <w:r>
        <w:t xml:space="preserve"> </w:t>
      </w:r>
      <w:r w:rsidR="008013CB" w:rsidRPr="003A3D9D">
        <w:rPr>
          <w:b/>
          <w:bCs/>
        </w:rPr>
        <w:t xml:space="preserve">– REQUIRED </w:t>
      </w:r>
      <w:r w:rsidR="009248BA">
        <w:rPr>
          <w:b/>
          <w:bCs/>
        </w:rPr>
        <w:t>PROPOSAL</w:t>
      </w:r>
      <w:r w:rsidR="008013CB">
        <w:br/>
        <w:t xml:space="preserve"> </w:t>
      </w:r>
      <w:r w:rsidR="008013CB">
        <w:tab/>
      </w:r>
      <w:r w:rsidRPr="00D8714D">
        <w:rPr>
          <w:rFonts w:ascii="Consolas" w:hAnsi="Consolas"/>
          <w:i/>
          <w:iCs/>
          <w:sz w:val="18"/>
          <w:szCs w:val="18"/>
        </w:rPr>
        <w:t>(</w:t>
      </w:r>
      <w:r>
        <w:rPr>
          <w:rFonts w:ascii="Consolas" w:hAnsi="Consolas"/>
          <w:i/>
          <w:iCs/>
          <w:sz w:val="18"/>
          <w:szCs w:val="18"/>
        </w:rPr>
        <w:t>11-GPA Proposed Costs – TVA Workbook</w:t>
      </w:r>
      <w:r w:rsidR="008013CB">
        <w:rPr>
          <w:rFonts w:ascii="Consolas" w:hAnsi="Consolas"/>
          <w:i/>
          <w:iCs/>
          <w:sz w:val="18"/>
          <w:szCs w:val="18"/>
        </w:rPr>
        <w:t xml:space="preserve"> REQUIRED</w:t>
      </w:r>
      <w:r>
        <w:rPr>
          <w:rFonts w:ascii="Consolas" w:hAnsi="Consolas"/>
          <w:i/>
          <w:iCs/>
          <w:sz w:val="18"/>
          <w:szCs w:val="18"/>
        </w:rPr>
        <w:t>.xlsx)</w:t>
      </w:r>
    </w:p>
    <w:p w14:paraId="1C3FB77C" w14:textId="724948E4" w:rsidR="008013CB" w:rsidRDefault="008013CB" w:rsidP="008013CB">
      <w:pPr>
        <w:pStyle w:val="NumberedItem"/>
        <w:numPr>
          <w:ilvl w:val="0"/>
          <w:numId w:val="0"/>
        </w:numPr>
        <w:tabs>
          <w:tab w:val="left" w:pos="2340"/>
        </w:tabs>
        <w:ind w:left="720"/>
        <w:rPr>
          <w:rFonts w:ascii="Consolas" w:hAnsi="Consolas"/>
          <w:i/>
          <w:iCs/>
          <w:sz w:val="18"/>
          <w:szCs w:val="18"/>
        </w:rPr>
      </w:pPr>
      <w:r>
        <w:t>Attachment 1</w:t>
      </w:r>
      <w:r w:rsidR="0000263F">
        <w:t>2</w:t>
      </w:r>
      <w:r>
        <w:t xml:space="preserve">: </w:t>
      </w:r>
      <w:r>
        <w:rPr>
          <w:b/>
          <w:bCs/>
        </w:rPr>
        <w:t>GPA Proposed Costs</w:t>
      </w:r>
      <w:r>
        <w:t xml:space="preserve"> </w:t>
      </w:r>
      <w:r w:rsidRPr="003A3D9D">
        <w:rPr>
          <w:b/>
          <w:bCs/>
        </w:rPr>
        <w:t xml:space="preserve">– ALTERNATIVE </w:t>
      </w:r>
      <w:r w:rsidR="009248BA">
        <w:rPr>
          <w:b/>
          <w:bCs/>
        </w:rPr>
        <w:t>PROPOSAL</w:t>
      </w:r>
      <w:r>
        <w:br/>
        <w:t xml:space="preserve"> </w:t>
      </w:r>
      <w:r>
        <w:tab/>
      </w:r>
      <w:r w:rsidRPr="00D8714D">
        <w:rPr>
          <w:rFonts w:ascii="Consolas" w:hAnsi="Consolas"/>
          <w:i/>
          <w:iCs/>
          <w:sz w:val="18"/>
          <w:szCs w:val="18"/>
        </w:rPr>
        <w:t>(</w:t>
      </w:r>
      <w:r>
        <w:rPr>
          <w:rFonts w:ascii="Consolas" w:hAnsi="Consolas"/>
          <w:i/>
          <w:iCs/>
          <w:sz w:val="18"/>
          <w:szCs w:val="18"/>
        </w:rPr>
        <w:t>12-GPA Proposed Costs – TVA Workbook ALTERNATIVE.xlsx)</w:t>
      </w:r>
    </w:p>
    <w:p w14:paraId="496821FC" w14:textId="312DE25F" w:rsidR="0061306E" w:rsidRDefault="0061306E" w:rsidP="006E18F4">
      <w:pPr>
        <w:pStyle w:val="NumberedItem"/>
        <w:numPr>
          <w:ilvl w:val="0"/>
          <w:numId w:val="0"/>
        </w:numPr>
        <w:tabs>
          <w:tab w:val="left" w:pos="2340"/>
        </w:tabs>
        <w:ind w:left="720"/>
        <w:rPr>
          <w:rFonts w:ascii="Consolas" w:hAnsi="Consolas"/>
          <w:i/>
          <w:iCs/>
          <w:sz w:val="18"/>
          <w:szCs w:val="18"/>
        </w:rPr>
      </w:pPr>
      <w:r>
        <w:t>Attachment 1</w:t>
      </w:r>
      <w:r w:rsidR="008013CB">
        <w:t>3</w:t>
      </w:r>
      <w:r>
        <w:t xml:space="preserve">: </w:t>
      </w:r>
      <w:r w:rsidRPr="00141D9C">
        <w:rPr>
          <w:b/>
          <w:bCs/>
        </w:rPr>
        <w:t xml:space="preserve">GPA Proposal </w:t>
      </w:r>
      <w:r w:rsidR="00FD33BB">
        <w:rPr>
          <w:b/>
          <w:bCs/>
        </w:rPr>
        <w:t>Overview</w:t>
      </w:r>
      <w:r w:rsidRPr="00141D9C">
        <w:rPr>
          <w:b/>
          <w:bCs/>
        </w:rPr>
        <w:t xml:space="preserve"> Power Point</w:t>
      </w:r>
      <w:r w:rsidR="00141D9C">
        <w:br/>
      </w:r>
      <w:r w:rsidR="00141D9C">
        <w:rPr>
          <w:rFonts w:ascii="Consolas" w:hAnsi="Consolas"/>
          <w:i/>
          <w:iCs/>
          <w:sz w:val="18"/>
          <w:szCs w:val="18"/>
        </w:rPr>
        <w:tab/>
      </w:r>
      <w:r w:rsidR="00141D9C" w:rsidRPr="00D8714D">
        <w:rPr>
          <w:rFonts w:ascii="Consolas" w:hAnsi="Consolas"/>
          <w:i/>
          <w:iCs/>
          <w:sz w:val="18"/>
          <w:szCs w:val="18"/>
        </w:rPr>
        <w:t>(</w:t>
      </w:r>
      <w:r w:rsidR="00141D9C">
        <w:rPr>
          <w:rFonts w:ascii="Consolas" w:hAnsi="Consolas"/>
          <w:i/>
          <w:iCs/>
          <w:sz w:val="18"/>
          <w:szCs w:val="18"/>
        </w:rPr>
        <w:t>1</w:t>
      </w:r>
      <w:r w:rsidR="008013CB">
        <w:rPr>
          <w:rFonts w:ascii="Consolas" w:hAnsi="Consolas"/>
          <w:i/>
          <w:iCs/>
          <w:sz w:val="18"/>
          <w:szCs w:val="18"/>
        </w:rPr>
        <w:t>3</w:t>
      </w:r>
      <w:r w:rsidR="00141D9C">
        <w:rPr>
          <w:rFonts w:ascii="Consolas" w:hAnsi="Consolas"/>
          <w:i/>
          <w:iCs/>
          <w:sz w:val="18"/>
          <w:szCs w:val="18"/>
        </w:rPr>
        <w:t>-</w:t>
      </w:r>
      <w:r w:rsidR="00141D9C" w:rsidRPr="00D8714D">
        <w:rPr>
          <w:rFonts w:ascii="Consolas" w:hAnsi="Consolas"/>
          <w:i/>
          <w:iCs/>
          <w:sz w:val="18"/>
          <w:szCs w:val="18"/>
        </w:rPr>
        <w:t xml:space="preserve">GPA </w:t>
      </w:r>
      <w:r w:rsidR="00141D9C">
        <w:rPr>
          <w:rFonts w:ascii="Consolas" w:hAnsi="Consolas"/>
          <w:i/>
          <w:iCs/>
          <w:sz w:val="18"/>
          <w:szCs w:val="18"/>
        </w:rPr>
        <w:t>Proposal</w:t>
      </w:r>
      <w:r w:rsidR="00FD33BB">
        <w:rPr>
          <w:rFonts w:ascii="Consolas" w:hAnsi="Consolas"/>
          <w:i/>
          <w:iCs/>
          <w:sz w:val="18"/>
          <w:szCs w:val="18"/>
        </w:rPr>
        <w:t xml:space="preserve"> Overview</w:t>
      </w:r>
      <w:r w:rsidR="00141D9C" w:rsidRPr="00D8714D">
        <w:rPr>
          <w:rFonts w:ascii="Consolas" w:hAnsi="Consolas"/>
          <w:i/>
          <w:iCs/>
          <w:sz w:val="18"/>
          <w:szCs w:val="18"/>
        </w:rPr>
        <w:t>.</w:t>
      </w:r>
      <w:r w:rsidR="002F1B64">
        <w:rPr>
          <w:rFonts w:ascii="Consolas" w:hAnsi="Consolas"/>
          <w:i/>
          <w:iCs/>
          <w:sz w:val="18"/>
          <w:szCs w:val="18"/>
        </w:rPr>
        <w:t>ppt</w:t>
      </w:r>
      <w:r w:rsidR="00141D9C">
        <w:rPr>
          <w:rFonts w:ascii="Consolas" w:hAnsi="Consolas"/>
          <w:i/>
          <w:iCs/>
          <w:sz w:val="18"/>
          <w:szCs w:val="18"/>
        </w:rPr>
        <w:t>)</w:t>
      </w:r>
    </w:p>
    <w:bookmarkEnd w:id="3"/>
    <w:p w14:paraId="19275CBE" w14:textId="161DB1E7" w:rsidR="008F1435" w:rsidRDefault="008F1435" w:rsidP="00666C0E">
      <w:pPr>
        <w:pStyle w:val="bodysignature"/>
      </w:pPr>
    </w:p>
    <w:bookmarkEnd w:id="2"/>
    <w:bookmarkEnd w:id="4"/>
    <w:p w14:paraId="0C3EAC55" w14:textId="5B66024F" w:rsidR="008F1435" w:rsidRDefault="008F1435" w:rsidP="00666C0E">
      <w:pPr>
        <w:pStyle w:val="bodysignature"/>
      </w:pPr>
    </w:p>
    <w:p w14:paraId="73736AD6" w14:textId="2DD6814A" w:rsidR="008F1435" w:rsidRDefault="008F1435" w:rsidP="00666C0E">
      <w:pPr>
        <w:pStyle w:val="bodysignature"/>
      </w:pPr>
    </w:p>
    <w:p w14:paraId="7A922B0F" w14:textId="548ACC85" w:rsidR="008F1435" w:rsidRDefault="008F1435" w:rsidP="00666C0E">
      <w:pPr>
        <w:pStyle w:val="bodysignature"/>
      </w:pPr>
    </w:p>
    <w:p w14:paraId="6BD4DDB6" w14:textId="604A6F53" w:rsidR="008F1435" w:rsidRDefault="008F1435" w:rsidP="00666C0E">
      <w:pPr>
        <w:pStyle w:val="bodysignature"/>
      </w:pPr>
    </w:p>
    <w:p w14:paraId="229DA5AF" w14:textId="14E9FEF2" w:rsidR="008F1435" w:rsidRDefault="008F1435" w:rsidP="00666C0E">
      <w:pPr>
        <w:pStyle w:val="bodysignature"/>
      </w:pPr>
    </w:p>
    <w:p w14:paraId="6FE6519E" w14:textId="71D61414" w:rsidR="008F1435" w:rsidRDefault="008F1435" w:rsidP="00666C0E">
      <w:pPr>
        <w:pStyle w:val="bodysignature"/>
      </w:pPr>
    </w:p>
    <w:p w14:paraId="5A25AED6" w14:textId="72B13536" w:rsidR="008F1435" w:rsidRDefault="008F1435" w:rsidP="00666C0E">
      <w:pPr>
        <w:pStyle w:val="bodysignature"/>
      </w:pPr>
    </w:p>
    <w:p w14:paraId="135340EC" w14:textId="77777777" w:rsidR="008F1435" w:rsidRPr="008E191B" w:rsidRDefault="008F1435" w:rsidP="00666C0E">
      <w:pPr>
        <w:pStyle w:val="bodysignature"/>
      </w:pPr>
    </w:p>
    <w:p w14:paraId="0E16F093" w14:textId="77777777" w:rsidR="00D0009F" w:rsidRDefault="00D0009F" w:rsidP="00BE2A98">
      <w:pPr>
        <w:pStyle w:val="Body"/>
      </w:pPr>
    </w:p>
    <w:p w14:paraId="4F81EFC9" w14:textId="77777777" w:rsidR="005E09C7" w:rsidRDefault="005E09C7" w:rsidP="00BE2A98">
      <w:pPr>
        <w:pStyle w:val="Body"/>
        <w:sectPr w:rsidR="005E09C7" w:rsidSect="00E168A2">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260" w:left="1800" w:header="288" w:footer="813" w:gutter="0"/>
          <w:pgBorders w:offsetFrom="page">
            <w:top w:val="single" w:sz="8" w:space="24" w:color="595959" w:themeColor="text1" w:themeTint="A6"/>
            <w:left w:val="single" w:sz="8" w:space="24" w:color="595959" w:themeColor="text1" w:themeTint="A6"/>
            <w:bottom w:val="single" w:sz="8" w:space="24" w:color="595959" w:themeColor="text1" w:themeTint="A6"/>
            <w:right w:val="single" w:sz="8" w:space="24" w:color="595959" w:themeColor="text1" w:themeTint="A6"/>
          </w:pgBorders>
          <w:pgNumType w:fmt="lowerRoman"/>
          <w:cols w:space="720"/>
          <w:titlePg/>
          <w:docGrid w:linePitch="360"/>
        </w:sectPr>
      </w:pPr>
    </w:p>
    <w:p w14:paraId="391CE326" w14:textId="77777777" w:rsidR="00153003" w:rsidRDefault="00153003" w:rsidP="00153003">
      <w:pPr>
        <w:jc w:val="right"/>
        <w:rPr>
          <w:noProof/>
        </w:rPr>
      </w:pPr>
    </w:p>
    <w:p w14:paraId="2442EDAA" w14:textId="77777777" w:rsidR="00153003" w:rsidRPr="001202B2" w:rsidRDefault="00153003" w:rsidP="00153003">
      <w:pPr>
        <w:jc w:val="right"/>
      </w:pPr>
      <w:r>
        <w:rPr>
          <w:noProof/>
        </w:rPr>
        <w:t>1206 Broad Street</w:t>
      </w:r>
    </w:p>
    <w:p w14:paraId="36A469D3" w14:textId="77777777" w:rsidR="00153003" w:rsidRPr="001202B2" w:rsidRDefault="00153003" w:rsidP="00153003">
      <w:pPr>
        <w:jc w:val="right"/>
      </w:pPr>
      <w:r>
        <w:t>Chattanooga, Tennessee 37402</w:t>
      </w:r>
    </w:p>
    <w:p w14:paraId="5C7CA00A" w14:textId="77777777" w:rsidR="00153003" w:rsidRDefault="00153003" w:rsidP="00153003">
      <w:pPr>
        <w:jc w:val="right"/>
      </w:pPr>
      <w:r>
        <w:t>(423) 702-8136</w:t>
      </w:r>
    </w:p>
    <w:p w14:paraId="5C4EFD49" w14:textId="183BF710" w:rsidR="00D0009F" w:rsidRDefault="00D0009F"/>
    <w:p w14:paraId="478E8241" w14:textId="77777777" w:rsidR="00F5763A" w:rsidRDefault="00F5763A" w:rsidP="00FB0A6A"/>
    <w:p w14:paraId="4EF1E750" w14:textId="77777777" w:rsidR="00F5763A" w:rsidRDefault="00F5763A" w:rsidP="00FB0A6A"/>
    <w:p w14:paraId="3143BADC" w14:textId="77777777" w:rsidR="00F5763A" w:rsidRDefault="00F5763A" w:rsidP="00FB0A6A"/>
    <w:p w14:paraId="1F05989E" w14:textId="77777777" w:rsidR="006A574C" w:rsidRDefault="006A574C" w:rsidP="00765D08">
      <w:pPr>
        <w:jc w:val="center"/>
        <w:rPr>
          <w:sz w:val="36"/>
          <w:szCs w:val="36"/>
        </w:rPr>
      </w:pPr>
    </w:p>
    <w:p w14:paraId="0E6458C0" w14:textId="54F6E6EB" w:rsidR="00C234F2" w:rsidRDefault="00B7349A" w:rsidP="00765D08">
      <w:pPr>
        <w:jc w:val="center"/>
        <w:rPr>
          <w:sz w:val="36"/>
          <w:szCs w:val="36"/>
        </w:rPr>
      </w:pPr>
      <w:r w:rsidRPr="00574CB3">
        <w:rPr>
          <w:sz w:val="36"/>
          <w:szCs w:val="36"/>
        </w:rPr>
        <w:t xml:space="preserve">Response </w:t>
      </w:r>
      <w:r w:rsidR="00882A3F">
        <w:rPr>
          <w:sz w:val="36"/>
          <w:szCs w:val="36"/>
        </w:rPr>
        <w:t>to Tennessee Valley Authority</w:t>
      </w:r>
      <w:r w:rsidR="001D1DD6">
        <w:rPr>
          <w:sz w:val="36"/>
          <w:szCs w:val="36"/>
        </w:rPr>
        <w:t xml:space="preserve"> (</w:t>
      </w:r>
      <w:r w:rsidR="00882A3F">
        <w:rPr>
          <w:sz w:val="36"/>
          <w:szCs w:val="36"/>
        </w:rPr>
        <w:t>TVA</w:t>
      </w:r>
      <w:r w:rsidR="001D1DD6">
        <w:rPr>
          <w:sz w:val="36"/>
          <w:szCs w:val="36"/>
        </w:rPr>
        <w:t>)</w:t>
      </w:r>
    </w:p>
    <w:p w14:paraId="3AAD7486" w14:textId="77777777" w:rsidR="00F5763A" w:rsidRPr="00574CB3" w:rsidRDefault="003F04A8" w:rsidP="00765D08">
      <w:pPr>
        <w:jc w:val="center"/>
        <w:rPr>
          <w:sz w:val="36"/>
          <w:szCs w:val="36"/>
        </w:rPr>
      </w:pPr>
      <w:r w:rsidRPr="00574CB3">
        <w:rPr>
          <w:sz w:val="36"/>
          <w:szCs w:val="36"/>
        </w:rPr>
        <w:t xml:space="preserve">Request for </w:t>
      </w:r>
      <w:r w:rsidR="007357D5">
        <w:rPr>
          <w:sz w:val="36"/>
          <w:szCs w:val="36"/>
        </w:rPr>
        <w:t>Proposal</w:t>
      </w:r>
    </w:p>
    <w:p w14:paraId="2B5C0A0E" w14:textId="77777777" w:rsidR="003F04A8" w:rsidRPr="003F04A8" w:rsidRDefault="003F04A8" w:rsidP="00765D08">
      <w:pPr>
        <w:jc w:val="center"/>
      </w:pPr>
    </w:p>
    <w:p w14:paraId="29BA3EEF" w14:textId="77777777" w:rsidR="003E7613" w:rsidRPr="003E7613" w:rsidRDefault="00693F35" w:rsidP="00765D08">
      <w:pPr>
        <w:jc w:val="center"/>
        <w:rPr>
          <w:i/>
          <w:iCs/>
          <w:sz w:val="32"/>
          <w:szCs w:val="32"/>
        </w:rPr>
      </w:pPr>
      <w:r>
        <w:rPr>
          <w:b/>
          <w:sz w:val="44"/>
          <w:szCs w:val="44"/>
        </w:rPr>
        <w:t>Asset Data Aggregation and</w:t>
      </w:r>
      <w:r>
        <w:rPr>
          <w:b/>
          <w:sz w:val="44"/>
          <w:szCs w:val="44"/>
        </w:rPr>
        <w:br/>
      </w:r>
      <w:r w:rsidR="00252AB3">
        <w:rPr>
          <w:b/>
          <w:sz w:val="44"/>
          <w:szCs w:val="44"/>
        </w:rPr>
        <w:t>Condition Analytics Tools</w:t>
      </w:r>
      <w:r w:rsidR="006C26AD">
        <w:rPr>
          <w:b/>
          <w:sz w:val="44"/>
          <w:szCs w:val="44"/>
        </w:rPr>
        <w:br/>
      </w:r>
      <w:r w:rsidR="003E7613" w:rsidRPr="003E7613">
        <w:rPr>
          <w:i/>
          <w:iCs/>
          <w:sz w:val="32"/>
          <w:szCs w:val="32"/>
        </w:rPr>
        <w:t>for the</w:t>
      </w:r>
    </w:p>
    <w:p w14:paraId="04FA789B" w14:textId="6870A929" w:rsidR="003F04A8" w:rsidRPr="00F75685" w:rsidRDefault="003E7613" w:rsidP="00765D08">
      <w:pPr>
        <w:jc w:val="center"/>
        <w:rPr>
          <w:sz w:val="32"/>
          <w:szCs w:val="32"/>
        </w:rPr>
      </w:pPr>
      <w:r w:rsidRPr="003E7613">
        <w:rPr>
          <w:b/>
          <w:sz w:val="44"/>
          <w:szCs w:val="44"/>
        </w:rPr>
        <w:t>Transmission Asset Performan</w:t>
      </w:r>
      <w:r>
        <w:rPr>
          <w:b/>
          <w:sz w:val="44"/>
          <w:szCs w:val="44"/>
        </w:rPr>
        <w:t>ce</w:t>
      </w:r>
      <w:r w:rsidRPr="003E7613">
        <w:rPr>
          <w:b/>
          <w:sz w:val="44"/>
          <w:szCs w:val="44"/>
        </w:rPr>
        <w:t xml:space="preserve"> Center</w:t>
      </w:r>
      <w:r>
        <w:rPr>
          <w:sz w:val="36"/>
          <w:szCs w:val="36"/>
        </w:rPr>
        <w:br/>
      </w:r>
      <w:r w:rsidR="006C26AD" w:rsidRPr="003E7613">
        <w:rPr>
          <w:sz w:val="36"/>
          <w:szCs w:val="36"/>
        </w:rPr>
        <w:br/>
      </w:r>
      <w:r>
        <w:rPr>
          <w:sz w:val="32"/>
          <w:szCs w:val="32"/>
        </w:rPr>
        <w:t xml:space="preserve">TVA </w:t>
      </w:r>
      <w:r w:rsidR="006C26AD" w:rsidRPr="00F75685">
        <w:rPr>
          <w:sz w:val="32"/>
          <w:szCs w:val="32"/>
        </w:rPr>
        <w:t>Solic</w:t>
      </w:r>
      <w:r w:rsidR="00300B31" w:rsidRPr="00F75685">
        <w:rPr>
          <w:sz w:val="32"/>
          <w:szCs w:val="32"/>
        </w:rPr>
        <w:t>itation Number 99419</w:t>
      </w:r>
    </w:p>
    <w:p w14:paraId="17F18AA8" w14:textId="77777777" w:rsidR="00B7349A" w:rsidRDefault="00B7349A" w:rsidP="00765D08">
      <w:pPr>
        <w:jc w:val="center"/>
      </w:pPr>
    </w:p>
    <w:p w14:paraId="28611949" w14:textId="77777777" w:rsidR="00F5763A" w:rsidRDefault="00F5763A" w:rsidP="00765D08">
      <w:pPr>
        <w:jc w:val="center"/>
      </w:pPr>
    </w:p>
    <w:p w14:paraId="3013DF96" w14:textId="70F80E33" w:rsidR="00B443C6" w:rsidRPr="00300B31" w:rsidRDefault="00882A3F" w:rsidP="00765D08">
      <w:pPr>
        <w:jc w:val="center"/>
        <w:rPr>
          <w:b/>
          <w:sz w:val="44"/>
          <w:szCs w:val="44"/>
        </w:rPr>
      </w:pPr>
      <w:r w:rsidRPr="00300B31">
        <w:rPr>
          <w:b/>
          <w:sz w:val="44"/>
          <w:szCs w:val="44"/>
        </w:rPr>
        <w:t>GPA Proposal</w:t>
      </w:r>
    </w:p>
    <w:p w14:paraId="05753DB6" w14:textId="77777777" w:rsidR="00F5763A" w:rsidRDefault="00F5763A" w:rsidP="00765D08">
      <w:pPr>
        <w:jc w:val="center"/>
      </w:pPr>
    </w:p>
    <w:p w14:paraId="7DCD15C7" w14:textId="77777777" w:rsidR="00F5763A" w:rsidRDefault="00F5763A" w:rsidP="00765D08">
      <w:pPr>
        <w:jc w:val="center"/>
      </w:pPr>
    </w:p>
    <w:p w14:paraId="3FC96901" w14:textId="77777777" w:rsidR="00F5763A" w:rsidRDefault="00F5763A" w:rsidP="00765D08">
      <w:pPr>
        <w:jc w:val="center"/>
      </w:pPr>
    </w:p>
    <w:p w14:paraId="2CCE32FE" w14:textId="77777777" w:rsidR="00F5763A" w:rsidRDefault="00F5763A" w:rsidP="00765D08">
      <w:pPr>
        <w:jc w:val="center"/>
      </w:pPr>
    </w:p>
    <w:p w14:paraId="7D86F5C3" w14:textId="249FB35F" w:rsidR="00F5763A" w:rsidRPr="007357D5" w:rsidRDefault="00882A3F" w:rsidP="00765D08">
      <w:pPr>
        <w:jc w:val="center"/>
        <w:rPr>
          <w:b/>
          <w:sz w:val="24"/>
        </w:rPr>
      </w:pPr>
      <w:r>
        <w:rPr>
          <w:b/>
          <w:sz w:val="24"/>
        </w:rPr>
        <w:t xml:space="preserve">January </w:t>
      </w:r>
      <w:r w:rsidR="005C1B81">
        <w:rPr>
          <w:b/>
          <w:sz w:val="24"/>
        </w:rPr>
        <w:t>31</w:t>
      </w:r>
      <w:r>
        <w:rPr>
          <w:b/>
          <w:sz w:val="24"/>
        </w:rPr>
        <w:t>, 2020</w:t>
      </w:r>
    </w:p>
    <w:p w14:paraId="25588F38" w14:textId="763A6A5A" w:rsidR="00DF5A63" w:rsidRDefault="00DF5A63" w:rsidP="00574CB3">
      <w:pPr>
        <w:jc w:val="right"/>
      </w:pPr>
    </w:p>
    <w:p w14:paraId="3A0F0365" w14:textId="6D02078A" w:rsidR="00616A38" w:rsidRDefault="00616A38" w:rsidP="00574CB3">
      <w:pPr>
        <w:jc w:val="right"/>
      </w:pPr>
    </w:p>
    <w:p w14:paraId="01E82EC6" w14:textId="43571C4D" w:rsidR="00616A38" w:rsidRDefault="00616A38" w:rsidP="00574CB3">
      <w:pPr>
        <w:jc w:val="right"/>
      </w:pPr>
    </w:p>
    <w:p w14:paraId="7FE57C8E" w14:textId="21E8487A" w:rsidR="00616A38" w:rsidRDefault="00616A38" w:rsidP="00574CB3">
      <w:pPr>
        <w:jc w:val="right"/>
      </w:pPr>
    </w:p>
    <w:p w14:paraId="67313195" w14:textId="77777777" w:rsidR="00616A38" w:rsidRDefault="00616A38" w:rsidP="00574CB3">
      <w:pPr>
        <w:jc w:val="right"/>
      </w:pPr>
    </w:p>
    <w:p w14:paraId="517B280A" w14:textId="77777777" w:rsidR="00DF5A63" w:rsidRDefault="00DF5A63" w:rsidP="00574CB3">
      <w:pPr>
        <w:jc w:val="right"/>
      </w:pPr>
    </w:p>
    <w:p w14:paraId="7CBBF985" w14:textId="77777777" w:rsidR="00DF5A63" w:rsidRDefault="00DF5A63" w:rsidP="00574CB3">
      <w:pPr>
        <w:jc w:val="right"/>
      </w:pPr>
    </w:p>
    <w:p w14:paraId="5260671D" w14:textId="77777777" w:rsidR="00DF5A63" w:rsidRPr="00AC3CDE" w:rsidRDefault="00DF5A63" w:rsidP="00574CB3">
      <w:pPr>
        <w:jc w:val="right"/>
      </w:pPr>
    </w:p>
    <w:p w14:paraId="0A0081A4" w14:textId="4CD186B9" w:rsidR="00B936C8" w:rsidRDefault="00DF5A63" w:rsidP="00616A38">
      <w:pPr>
        <w:jc w:val="both"/>
        <w:rPr>
          <w:rFonts w:ascii="Garamond" w:hAnsi="Garamond"/>
          <w:sz w:val="18"/>
          <w:szCs w:val="18"/>
        </w:rPr>
      </w:pPr>
      <w:r w:rsidRPr="00574CB3">
        <w:rPr>
          <w:rFonts w:ascii="Garamond" w:hAnsi="Garamond"/>
          <w:sz w:val="18"/>
          <w:szCs w:val="18"/>
        </w:rPr>
        <w:t xml:space="preserve">The information </w:t>
      </w:r>
      <w:r w:rsidR="001D1DD6">
        <w:rPr>
          <w:rFonts w:ascii="Garamond" w:hAnsi="Garamond"/>
          <w:sz w:val="18"/>
          <w:szCs w:val="18"/>
        </w:rPr>
        <w:t xml:space="preserve">contained </w:t>
      </w:r>
      <w:r w:rsidRPr="00574CB3">
        <w:rPr>
          <w:rFonts w:ascii="Garamond" w:hAnsi="Garamond"/>
          <w:sz w:val="18"/>
          <w:szCs w:val="18"/>
        </w:rPr>
        <w:t>in this document is the exclusive property of Grid Protection Alliance</w:t>
      </w:r>
      <w:r w:rsidR="00D965FD">
        <w:rPr>
          <w:rFonts w:ascii="Garamond" w:hAnsi="Garamond"/>
          <w:sz w:val="18"/>
          <w:szCs w:val="18"/>
        </w:rPr>
        <w:t>, Inc.</w:t>
      </w:r>
      <w:r w:rsidR="00616A38">
        <w:rPr>
          <w:rFonts w:ascii="Garamond" w:hAnsi="Garamond"/>
          <w:sz w:val="18"/>
          <w:szCs w:val="18"/>
        </w:rPr>
        <w:t xml:space="preserve"> and it</w:t>
      </w:r>
      <w:r w:rsidRPr="00574CB3">
        <w:rPr>
          <w:rFonts w:ascii="Garamond" w:hAnsi="Garamond"/>
          <w:sz w:val="18"/>
          <w:szCs w:val="18"/>
        </w:rPr>
        <w:t xml:space="preserve"> is provided for the sole purpose of a response narrative </w:t>
      </w:r>
      <w:r w:rsidR="00531CC6">
        <w:rPr>
          <w:rFonts w:ascii="Garamond" w:hAnsi="Garamond"/>
          <w:sz w:val="18"/>
          <w:szCs w:val="18"/>
        </w:rPr>
        <w:t xml:space="preserve">to </w:t>
      </w:r>
      <w:r w:rsidR="00196A18">
        <w:rPr>
          <w:rFonts w:ascii="Garamond" w:hAnsi="Garamond"/>
          <w:sz w:val="18"/>
          <w:szCs w:val="18"/>
        </w:rPr>
        <w:t>TVA’s</w:t>
      </w:r>
      <w:r w:rsidR="00531CC6" w:rsidRPr="00574CB3">
        <w:rPr>
          <w:rFonts w:ascii="Garamond" w:hAnsi="Garamond"/>
          <w:sz w:val="18"/>
          <w:szCs w:val="18"/>
        </w:rPr>
        <w:t xml:space="preserve"> </w:t>
      </w:r>
      <w:r w:rsidR="00531CC6">
        <w:rPr>
          <w:rFonts w:ascii="Garamond" w:hAnsi="Garamond"/>
          <w:sz w:val="18"/>
          <w:szCs w:val="18"/>
        </w:rPr>
        <w:t xml:space="preserve">Request for </w:t>
      </w:r>
      <w:r w:rsidR="007357D5">
        <w:rPr>
          <w:rFonts w:ascii="Garamond" w:hAnsi="Garamond"/>
          <w:sz w:val="18"/>
          <w:szCs w:val="18"/>
        </w:rPr>
        <w:t>Proposal</w:t>
      </w:r>
      <w:r w:rsidR="00531CC6" w:rsidRPr="00574CB3">
        <w:rPr>
          <w:rFonts w:ascii="Garamond" w:hAnsi="Garamond"/>
          <w:sz w:val="18"/>
          <w:szCs w:val="18"/>
        </w:rPr>
        <w:t xml:space="preserve"> </w:t>
      </w:r>
      <w:r w:rsidR="003E288B">
        <w:rPr>
          <w:rFonts w:ascii="Garamond" w:hAnsi="Garamond"/>
          <w:sz w:val="18"/>
          <w:szCs w:val="18"/>
        </w:rPr>
        <w:t>for</w:t>
      </w:r>
      <w:r w:rsidRPr="00574CB3">
        <w:rPr>
          <w:rFonts w:ascii="Garamond" w:hAnsi="Garamond"/>
          <w:sz w:val="18"/>
          <w:szCs w:val="18"/>
        </w:rPr>
        <w:t xml:space="preserve"> </w:t>
      </w:r>
      <w:r w:rsidR="00603793">
        <w:rPr>
          <w:rFonts w:ascii="Garamond" w:hAnsi="Garamond"/>
          <w:sz w:val="18"/>
          <w:szCs w:val="18"/>
        </w:rPr>
        <w:t xml:space="preserve">the Asset Data </w:t>
      </w:r>
      <w:r w:rsidR="006C26AD">
        <w:rPr>
          <w:rFonts w:ascii="Garamond" w:hAnsi="Garamond"/>
          <w:sz w:val="18"/>
          <w:szCs w:val="18"/>
        </w:rPr>
        <w:t>Aggregation</w:t>
      </w:r>
      <w:r w:rsidR="009621F1">
        <w:rPr>
          <w:rFonts w:ascii="Garamond" w:hAnsi="Garamond"/>
          <w:sz w:val="18"/>
          <w:szCs w:val="18"/>
        </w:rPr>
        <w:t xml:space="preserve"> and Condition Analytics Tools solicitation number </w:t>
      </w:r>
      <w:r w:rsidR="006C26AD">
        <w:rPr>
          <w:rFonts w:ascii="Garamond" w:hAnsi="Garamond"/>
          <w:sz w:val="18"/>
          <w:szCs w:val="18"/>
        </w:rPr>
        <w:t>99419</w:t>
      </w:r>
      <w:r w:rsidR="00531CC6">
        <w:rPr>
          <w:rFonts w:ascii="Garamond" w:hAnsi="Garamond"/>
          <w:sz w:val="18"/>
          <w:szCs w:val="18"/>
        </w:rPr>
        <w:t xml:space="preserve">.  </w:t>
      </w:r>
      <w:r w:rsidRPr="00574CB3">
        <w:rPr>
          <w:rFonts w:ascii="Garamond" w:hAnsi="Garamond"/>
          <w:sz w:val="18"/>
          <w:szCs w:val="18"/>
        </w:rPr>
        <w:t xml:space="preserve">This document is confidential and proprietary and may not be reproduced or otherwise disseminated or </w:t>
      </w:r>
      <w:r w:rsidR="00BF5BBE">
        <w:rPr>
          <w:rFonts w:ascii="Garamond" w:hAnsi="Garamond"/>
          <w:sz w:val="18"/>
          <w:szCs w:val="18"/>
        </w:rPr>
        <w:t xml:space="preserve">utilized for any other purpose </w:t>
      </w:r>
      <w:r w:rsidRPr="00574CB3">
        <w:rPr>
          <w:rFonts w:ascii="Garamond" w:hAnsi="Garamond"/>
          <w:sz w:val="18"/>
          <w:szCs w:val="18"/>
        </w:rPr>
        <w:t xml:space="preserve">than </w:t>
      </w:r>
      <w:r w:rsidR="00BF5BBE">
        <w:rPr>
          <w:rFonts w:ascii="Garamond" w:hAnsi="Garamond"/>
          <w:sz w:val="18"/>
          <w:szCs w:val="18"/>
        </w:rPr>
        <w:t>that stated above</w:t>
      </w:r>
      <w:r w:rsidRPr="00574CB3">
        <w:rPr>
          <w:rFonts w:ascii="Garamond" w:hAnsi="Garamond"/>
          <w:sz w:val="18"/>
          <w:szCs w:val="18"/>
        </w:rPr>
        <w:t xml:space="preserve"> without the specific written permission of the Grid Protection Alliance</w:t>
      </w:r>
      <w:r w:rsidR="00616A38">
        <w:rPr>
          <w:rFonts w:ascii="Garamond" w:hAnsi="Garamond"/>
          <w:sz w:val="18"/>
          <w:szCs w:val="18"/>
        </w:rPr>
        <w:t>, Inc</w:t>
      </w:r>
    </w:p>
    <w:p w14:paraId="78EB5D13" w14:textId="785E9271" w:rsidR="00B936C8" w:rsidRDefault="00B936C8">
      <w:pPr>
        <w:rPr>
          <w:rFonts w:ascii="Garamond" w:hAnsi="Garamond"/>
          <w:sz w:val="18"/>
          <w:szCs w:val="18"/>
        </w:rPr>
      </w:pPr>
      <w:r>
        <w:rPr>
          <w:rFonts w:ascii="Garamond" w:hAnsi="Garamond"/>
          <w:sz w:val="18"/>
          <w:szCs w:val="18"/>
        </w:rPr>
        <w:br w:type="page"/>
      </w:r>
    </w:p>
    <w:p w14:paraId="5F24F2A8" w14:textId="277E0FBE" w:rsidR="00B936C8" w:rsidRDefault="00B936C8" w:rsidP="00616A38">
      <w:pPr>
        <w:jc w:val="both"/>
        <w:rPr>
          <w:rFonts w:ascii="Garamond" w:hAnsi="Garamond"/>
          <w:sz w:val="18"/>
          <w:szCs w:val="18"/>
        </w:rPr>
      </w:pPr>
    </w:p>
    <w:p w14:paraId="2A2EB767" w14:textId="5D3EB9EA" w:rsidR="00B936C8" w:rsidRDefault="00B936C8" w:rsidP="00616A38">
      <w:pPr>
        <w:jc w:val="both"/>
        <w:rPr>
          <w:rFonts w:ascii="Garamond" w:hAnsi="Garamond"/>
          <w:sz w:val="18"/>
          <w:szCs w:val="18"/>
        </w:rPr>
      </w:pPr>
    </w:p>
    <w:p w14:paraId="4A6F3B7F" w14:textId="284A49C9" w:rsidR="00B936C8" w:rsidRDefault="00B936C8" w:rsidP="00616A38">
      <w:pPr>
        <w:jc w:val="both"/>
        <w:rPr>
          <w:rFonts w:ascii="Garamond" w:hAnsi="Garamond"/>
          <w:sz w:val="18"/>
          <w:szCs w:val="18"/>
        </w:rPr>
      </w:pPr>
    </w:p>
    <w:p w14:paraId="44FD64E8" w14:textId="4814FDA9" w:rsidR="00B936C8" w:rsidRDefault="00B936C8" w:rsidP="00616A38">
      <w:pPr>
        <w:jc w:val="both"/>
        <w:rPr>
          <w:rFonts w:ascii="Garamond" w:hAnsi="Garamond"/>
          <w:sz w:val="18"/>
          <w:szCs w:val="18"/>
        </w:rPr>
      </w:pPr>
    </w:p>
    <w:p w14:paraId="68540D04" w14:textId="7B843D5F" w:rsidR="00B936C8" w:rsidRDefault="00B936C8" w:rsidP="00616A38">
      <w:pPr>
        <w:jc w:val="both"/>
        <w:rPr>
          <w:rFonts w:ascii="Garamond" w:hAnsi="Garamond"/>
          <w:sz w:val="18"/>
          <w:szCs w:val="18"/>
        </w:rPr>
      </w:pPr>
    </w:p>
    <w:p w14:paraId="1B336D6F" w14:textId="1EFA01FC" w:rsidR="00B936C8" w:rsidRDefault="00B936C8" w:rsidP="00616A38">
      <w:pPr>
        <w:jc w:val="both"/>
        <w:rPr>
          <w:rFonts w:ascii="Garamond" w:hAnsi="Garamond"/>
          <w:sz w:val="18"/>
          <w:szCs w:val="18"/>
        </w:rPr>
      </w:pPr>
    </w:p>
    <w:p w14:paraId="782ADF09" w14:textId="1FBB48D8" w:rsidR="00B936C8" w:rsidRDefault="00B936C8" w:rsidP="00616A38">
      <w:pPr>
        <w:jc w:val="both"/>
        <w:rPr>
          <w:rFonts w:ascii="Garamond" w:hAnsi="Garamond"/>
          <w:sz w:val="18"/>
          <w:szCs w:val="18"/>
        </w:rPr>
      </w:pPr>
    </w:p>
    <w:p w14:paraId="6EE64196" w14:textId="126EFD66" w:rsidR="00B936C8" w:rsidRDefault="00B936C8" w:rsidP="00616A38">
      <w:pPr>
        <w:jc w:val="both"/>
        <w:rPr>
          <w:rFonts w:ascii="Garamond" w:hAnsi="Garamond"/>
          <w:sz w:val="18"/>
          <w:szCs w:val="18"/>
        </w:rPr>
      </w:pPr>
    </w:p>
    <w:p w14:paraId="46FBE6BB" w14:textId="48CF6202" w:rsidR="00B936C8" w:rsidRDefault="00B936C8" w:rsidP="00616A38">
      <w:pPr>
        <w:jc w:val="both"/>
        <w:rPr>
          <w:rFonts w:ascii="Garamond" w:hAnsi="Garamond"/>
          <w:sz w:val="18"/>
          <w:szCs w:val="18"/>
        </w:rPr>
      </w:pPr>
    </w:p>
    <w:p w14:paraId="56EFCAE8" w14:textId="4847FA80" w:rsidR="00B936C8" w:rsidRDefault="00B936C8" w:rsidP="00616A38">
      <w:pPr>
        <w:jc w:val="both"/>
        <w:rPr>
          <w:rFonts w:ascii="Garamond" w:hAnsi="Garamond"/>
          <w:sz w:val="18"/>
          <w:szCs w:val="18"/>
        </w:rPr>
      </w:pPr>
    </w:p>
    <w:p w14:paraId="0C61E0A3" w14:textId="21F3826B" w:rsidR="00B936C8" w:rsidRDefault="00B936C8" w:rsidP="00616A38">
      <w:pPr>
        <w:jc w:val="both"/>
        <w:rPr>
          <w:rFonts w:ascii="Garamond" w:hAnsi="Garamond"/>
          <w:sz w:val="18"/>
          <w:szCs w:val="18"/>
        </w:rPr>
      </w:pPr>
    </w:p>
    <w:p w14:paraId="15DEF500" w14:textId="2569C855" w:rsidR="00B936C8" w:rsidRDefault="00B936C8" w:rsidP="00616A38">
      <w:pPr>
        <w:jc w:val="both"/>
        <w:rPr>
          <w:rFonts w:ascii="Garamond" w:hAnsi="Garamond"/>
          <w:sz w:val="18"/>
          <w:szCs w:val="18"/>
        </w:rPr>
      </w:pPr>
    </w:p>
    <w:p w14:paraId="66373BB8" w14:textId="6FFAEFB0" w:rsidR="00B936C8" w:rsidRDefault="00B936C8" w:rsidP="00616A38">
      <w:pPr>
        <w:jc w:val="both"/>
        <w:rPr>
          <w:rFonts w:ascii="Garamond" w:hAnsi="Garamond"/>
          <w:sz w:val="18"/>
          <w:szCs w:val="18"/>
        </w:rPr>
      </w:pPr>
    </w:p>
    <w:p w14:paraId="08CA17B8" w14:textId="4BFCAD28" w:rsidR="00B936C8" w:rsidRDefault="00B936C8" w:rsidP="00616A38">
      <w:pPr>
        <w:jc w:val="both"/>
        <w:rPr>
          <w:rFonts w:ascii="Garamond" w:hAnsi="Garamond"/>
          <w:sz w:val="18"/>
          <w:szCs w:val="18"/>
        </w:rPr>
      </w:pPr>
    </w:p>
    <w:p w14:paraId="378BC407" w14:textId="07EC1AFC" w:rsidR="00B936C8" w:rsidRDefault="00B936C8" w:rsidP="00616A38">
      <w:pPr>
        <w:jc w:val="both"/>
        <w:rPr>
          <w:rFonts w:ascii="Garamond" w:hAnsi="Garamond"/>
          <w:sz w:val="18"/>
          <w:szCs w:val="18"/>
        </w:rPr>
      </w:pPr>
    </w:p>
    <w:p w14:paraId="07D3F23E" w14:textId="6900ECF1" w:rsidR="00B936C8" w:rsidRDefault="00B936C8" w:rsidP="00616A38">
      <w:pPr>
        <w:jc w:val="both"/>
        <w:rPr>
          <w:rFonts w:ascii="Garamond" w:hAnsi="Garamond"/>
          <w:sz w:val="18"/>
          <w:szCs w:val="18"/>
        </w:rPr>
      </w:pPr>
    </w:p>
    <w:p w14:paraId="638ED122" w14:textId="78FA01A8" w:rsidR="00B936C8" w:rsidRDefault="00B936C8" w:rsidP="00616A38">
      <w:pPr>
        <w:jc w:val="both"/>
        <w:rPr>
          <w:rFonts w:ascii="Garamond" w:hAnsi="Garamond"/>
          <w:sz w:val="18"/>
          <w:szCs w:val="18"/>
        </w:rPr>
      </w:pPr>
    </w:p>
    <w:p w14:paraId="2A1E70FC" w14:textId="01822D2E" w:rsidR="00B936C8" w:rsidRDefault="00B936C8" w:rsidP="00B936C8">
      <w:pPr>
        <w:jc w:val="center"/>
        <w:rPr>
          <w:rFonts w:ascii="Garamond" w:hAnsi="Garamond"/>
          <w:sz w:val="18"/>
          <w:szCs w:val="18"/>
        </w:rPr>
      </w:pPr>
      <w:r>
        <w:rPr>
          <w:rFonts w:ascii="Garamond" w:hAnsi="Garamond"/>
          <w:sz w:val="18"/>
          <w:szCs w:val="18"/>
        </w:rPr>
        <w:t>(This page is intentionally blank.)</w:t>
      </w:r>
    </w:p>
    <w:p w14:paraId="126C5D23" w14:textId="507A2507" w:rsidR="001E3EB8" w:rsidRPr="00616A38" w:rsidRDefault="00616A38" w:rsidP="00616A38">
      <w:pPr>
        <w:jc w:val="both"/>
        <w:rPr>
          <w:rFonts w:ascii="Garamond" w:hAnsi="Garamond"/>
          <w:sz w:val="18"/>
          <w:szCs w:val="18"/>
        </w:rPr>
        <w:sectPr w:rsidR="001E3EB8" w:rsidRPr="00616A38" w:rsidSect="00FF4FAA">
          <w:headerReference w:type="first" r:id="rId34"/>
          <w:footerReference w:type="first" r:id="rId35"/>
          <w:pgSz w:w="12240" w:h="15840"/>
          <w:pgMar w:top="1980" w:right="1800" w:bottom="1260" w:left="1800" w:header="288" w:footer="288" w:gutter="0"/>
          <w:pgBorders w:offsetFrom="page">
            <w:top w:val="single" w:sz="8" w:space="24" w:color="595959" w:themeColor="text1" w:themeTint="A6"/>
            <w:left w:val="single" w:sz="8" w:space="24" w:color="595959" w:themeColor="text1" w:themeTint="A6"/>
            <w:bottom w:val="single" w:sz="8" w:space="24" w:color="595959" w:themeColor="text1" w:themeTint="A6"/>
            <w:right w:val="single" w:sz="8" w:space="24" w:color="595959" w:themeColor="text1" w:themeTint="A6"/>
          </w:pgBorders>
          <w:pgNumType w:fmt="lowerRoman"/>
          <w:cols w:space="720"/>
          <w:titlePg/>
          <w:docGrid w:linePitch="360"/>
        </w:sectPr>
      </w:pPr>
      <w:r>
        <w:rPr>
          <w:rFonts w:ascii="Garamond" w:hAnsi="Garamond"/>
          <w:sz w:val="18"/>
          <w:szCs w:val="18"/>
        </w:rPr>
        <w:t>.</w:t>
      </w:r>
    </w:p>
    <w:p w14:paraId="336D9BEC" w14:textId="61DFC8DB" w:rsidR="00A34E48" w:rsidRDefault="00A34E48"/>
    <w:p w14:paraId="61296142" w14:textId="77777777" w:rsidR="00130A07" w:rsidRDefault="00130A07"/>
    <w:sdt>
      <w:sdtPr>
        <w:rPr>
          <w:rFonts w:asciiTheme="minorHAnsi" w:eastAsia="Times New Roman" w:hAnsiTheme="minorHAnsi" w:cs="Times New Roman"/>
          <w:color w:val="auto"/>
          <w:sz w:val="22"/>
          <w:szCs w:val="22"/>
        </w:rPr>
        <w:id w:val="41022605"/>
        <w:docPartObj>
          <w:docPartGallery w:val="Table of Contents"/>
          <w:docPartUnique/>
        </w:docPartObj>
      </w:sdtPr>
      <w:sdtEndPr>
        <w:rPr>
          <w:b/>
          <w:bCs/>
          <w:noProof/>
        </w:rPr>
      </w:sdtEndPr>
      <w:sdtContent>
        <w:p w14:paraId="41230585" w14:textId="0B98D53A" w:rsidR="00A500AF" w:rsidRPr="001253AC" w:rsidRDefault="00A500AF" w:rsidP="006D6152">
          <w:pPr>
            <w:pStyle w:val="TOCHeading"/>
            <w:rPr>
              <w:rStyle w:val="Heading1Char"/>
            </w:rPr>
          </w:pPr>
          <w:r w:rsidRPr="001253AC">
            <w:rPr>
              <w:rStyle w:val="Heading1Char"/>
            </w:rPr>
            <w:t>Contents</w:t>
          </w:r>
        </w:p>
        <w:p w14:paraId="3E07A9CB" w14:textId="6DF98337" w:rsidR="00E460E9" w:rsidRDefault="00F53FCC">
          <w:pPr>
            <w:pStyle w:val="TOC1"/>
            <w:rPr>
              <w:rFonts w:asciiTheme="minorHAnsi" w:eastAsiaTheme="minorEastAsia" w:hAnsiTheme="minorHAnsi" w:cstheme="minorBidi"/>
              <w:bCs w:val="0"/>
              <w:noProof/>
            </w:rPr>
          </w:pPr>
          <w:r>
            <w:fldChar w:fldCharType="begin"/>
          </w:r>
          <w:r>
            <w:instrText xml:space="preserve"> TOC \o "1-3" \h \z \u </w:instrText>
          </w:r>
          <w:r>
            <w:fldChar w:fldCharType="separate"/>
          </w:r>
          <w:hyperlink w:anchor="_Toc31377108" w:history="1">
            <w:r w:rsidR="00E460E9" w:rsidRPr="00D72C5E">
              <w:rPr>
                <w:rStyle w:val="Hyperlink"/>
                <w:noProof/>
              </w:rPr>
              <w:t>II.</w:t>
            </w:r>
            <w:r w:rsidR="00E460E9">
              <w:rPr>
                <w:rFonts w:asciiTheme="minorHAnsi" w:eastAsiaTheme="minorEastAsia" w:hAnsiTheme="minorHAnsi" w:cstheme="minorBidi"/>
                <w:bCs w:val="0"/>
                <w:noProof/>
              </w:rPr>
              <w:t xml:space="preserve">   </w:t>
            </w:r>
            <w:r w:rsidR="00E460E9" w:rsidRPr="00D72C5E">
              <w:rPr>
                <w:rStyle w:val="Hyperlink"/>
                <w:noProof/>
              </w:rPr>
              <w:t>Executive Summary and Overview</w:t>
            </w:r>
            <w:r w:rsidR="00E460E9">
              <w:rPr>
                <w:noProof/>
                <w:webHidden/>
              </w:rPr>
              <w:tab/>
            </w:r>
            <w:r w:rsidR="00E460E9">
              <w:rPr>
                <w:noProof/>
                <w:webHidden/>
              </w:rPr>
              <w:fldChar w:fldCharType="begin"/>
            </w:r>
            <w:r w:rsidR="00E460E9">
              <w:rPr>
                <w:noProof/>
                <w:webHidden/>
              </w:rPr>
              <w:instrText xml:space="preserve"> PAGEREF _Toc31377108 \h </w:instrText>
            </w:r>
            <w:r w:rsidR="00E460E9">
              <w:rPr>
                <w:noProof/>
                <w:webHidden/>
              </w:rPr>
            </w:r>
            <w:r w:rsidR="00E460E9">
              <w:rPr>
                <w:noProof/>
                <w:webHidden/>
              </w:rPr>
              <w:fldChar w:fldCharType="separate"/>
            </w:r>
            <w:r w:rsidR="00384587">
              <w:rPr>
                <w:noProof/>
                <w:webHidden/>
              </w:rPr>
              <w:t>2</w:t>
            </w:r>
            <w:r w:rsidR="00E460E9">
              <w:rPr>
                <w:noProof/>
                <w:webHidden/>
              </w:rPr>
              <w:fldChar w:fldCharType="end"/>
            </w:r>
          </w:hyperlink>
        </w:p>
        <w:p w14:paraId="4709A9B0" w14:textId="16373626" w:rsidR="00E460E9" w:rsidRDefault="005F3930">
          <w:pPr>
            <w:pStyle w:val="TOC3"/>
            <w:tabs>
              <w:tab w:val="right" w:pos="6470"/>
            </w:tabs>
            <w:rPr>
              <w:rFonts w:asciiTheme="minorHAnsi" w:eastAsiaTheme="minorEastAsia" w:hAnsiTheme="minorHAnsi" w:cstheme="minorBidi"/>
              <w:noProof/>
              <w:sz w:val="22"/>
              <w:szCs w:val="22"/>
            </w:rPr>
          </w:pPr>
          <w:hyperlink w:anchor="_Toc31377109" w:history="1">
            <w:r w:rsidR="00E460E9" w:rsidRPr="00D72C5E">
              <w:rPr>
                <w:rStyle w:val="Hyperlink"/>
                <w:noProof/>
              </w:rPr>
              <w:t>Executive Summary</w:t>
            </w:r>
            <w:r w:rsidR="00E460E9">
              <w:rPr>
                <w:noProof/>
                <w:webHidden/>
              </w:rPr>
              <w:tab/>
            </w:r>
            <w:r w:rsidR="00E460E9">
              <w:rPr>
                <w:noProof/>
                <w:webHidden/>
              </w:rPr>
              <w:fldChar w:fldCharType="begin"/>
            </w:r>
            <w:r w:rsidR="00E460E9">
              <w:rPr>
                <w:noProof/>
                <w:webHidden/>
              </w:rPr>
              <w:instrText xml:space="preserve"> PAGEREF _Toc31377109 \h </w:instrText>
            </w:r>
            <w:r w:rsidR="00E460E9">
              <w:rPr>
                <w:noProof/>
                <w:webHidden/>
              </w:rPr>
            </w:r>
            <w:r w:rsidR="00E460E9">
              <w:rPr>
                <w:noProof/>
                <w:webHidden/>
              </w:rPr>
              <w:fldChar w:fldCharType="separate"/>
            </w:r>
            <w:r w:rsidR="00384587">
              <w:rPr>
                <w:noProof/>
                <w:webHidden/>
              </w:rPr>
              <w:t>2</w:t>
            </w:r>
            <w:r w:rsidR="00E460E9">
              <w:rPr>
                <w:noProof/>
                <w:webHidden/>
              </w:rPr>
              <w:fldChar w:fldCharType="end"/>
            </w:r>
          </w:hyperlink>
        </w:p>
        <w:p w14:paraId="58BF8FB7" w14:textId="2BE45CD8" w:rsidR="00E460E9" w:rsidRDefault="005F3930">
          <w:pPr>
            <w:pStyle w:val="TOC3"/>
            <w:tabs>
              <w:tab w:val="right" w:pos="6470"/>
            </w:tabs>
            <w:rPr>
              <w:rFonts w:asciiTheme="minorHAnsi" w:eastAsiaTheme="minorEastAsia" w:hAnsiTheme="minorHAnsi" w:cstheme="minorBidi"/>
              <w:noProof/>
              <w:sz w:val="22"/>
              <w:szCs w:val="22"/>
            </w:rPr>
          </w:pPr>
          <w:hyperlink w:anchor="_Toc31377110" w:history="1">
            <w:r w:rsidR="00E460E9" w:rsidRPr="00D72C5E">
              <w:rPr>
                <w:rStyle w:val="Hyperlink"/>
                <w:noProof/>
              </w:rPr>
              <w:t>Proposal Overview</w:t>
            </w:r>
            <w:r w:rsidR="00E460E9">
              <w:rPr>
                <w:noProof/>
                <w:webHidden/>
              </w:rPr>
              <w:tab/>
            </w:r>
            <w:r w:rsidR="00E460E9">
              <w:rPr>
                <w:noProof/>
                <w:webHidden/>
              </w:rPr>
              <w:fldChar w:fldCharType="begin"/>
            </w:r>
            <w:r w:rsidR="00E460E9">
              <w:rPr>
                <w:noProof/>
                <w:webHidden/>
              </w:rPr>
              <w:instrText xml:space="preserve"> PAGEREF _Toc31377110 \h </w:instrText>
            </w:r>
            <w:r w:rsidR="00E460E9">
              <w:rPr>
                <w:noProof/>
                <w:webHidden/>
              </w:rPr>
            </w:r>
            <w:r w:rsidR="00E460E9">
              <w:rPr>
                <w:noProof/>
                <w:webHidden/>
              </w:rPr>
              <w:fldChar w:fldCharType="separate"/>
            </w:r>
            <w:r w:rsidR="00384587">
              <w:rPr>
                <w:noProof/>
                <w:webHidden/>
              </w:rPr>
              <w:t>3</w:t>
            </w:r>
            <w:r w:rsidR="00E460E9">
              <w:rPr>
                <w:noProof/>
                <w:webHidden/>
              </w:rPr>
              <w:fldChar w:fldCharType="end"/>
            </w:r>
          </w:hyperlink>
        </w:p>
        <w:p w14:paraId="47F943F6" w14:textId="617BCE7A" w:rsidR="00E460E9" w:rsidRDefault="005F3930">
          <w:pPr>
            <w:pStyle w:val="TOC1"/>
            <w:rPr>
              <w:rFonts w:asciiTheme="minorHAnsi" w:eastAsiaTheme="minorEastAsia" w:hAnsiTheme="minorHAnsi" w:cstheme="minorBidi"/>
              <w:bCs w:val="0"/>
              <w:noProof/>
            </w:rPr>
          </w:pPr>
          <w:hyperlink w:anchor="_Toc31377111" w:history="1">
            <w:r w:rsidR="00E460E9" w:rsidRPr="00D72C5E">
              <w:rPr>
                <w:rStyle w:val="Hyperlink"/>
                <w:noProof/>
              </w:rPr>
              <w:t>III.</w:t>
            </w:r>
            <w:r w:rsidR="00E460E9">
              <w:rPr>
                <w:rFonts w:asciiTheme="minorHAnsi" w:eastAsiaTheme="minorEastAsia" w:hAnsiTheme="minorHAnsi" w:cstheme="minorBidi"/>
                <w:bCs w:val="0"/>
                <w:noProof/>
              </w:rPr>
              <w:t xml:space="preserve">  </w:t>
            </w:r>
            <w:r w:rsidR="00E460E9" w:rsidRPr="00D72C5E">
              <w:rPr>
                <w:rStyle w:val="Hyperlink"/>
                <w:noProof/>
              </w:rPr>
              <w:t>GPA Qualifications</w:t>
            </w:r>
            <w:r w:rsidR="00E460E9">
              <w:rPr>
                <w:noProof/>
                <w:webHidden/>
              </w:rPr>
              <w:tab/>
            </w:r>
            <w:r w:rsidR="00E460E9">
              <w:rPr>
                <w:noProof/>
                <w:webHidden/>
              </w:rPr>
              <w:fldChar w:fldCharType="begin"/>
            </w:r>
            <w:r w:rsidR="00E460E9">
              <w:rPr>
                <w:noProof/>
                <w:webHidden/>
              </w:rPr>
              <w:instrText xml:space="preserve"> PAGEREF _Toc31377111 \h </w:instrText>
            </w:r>
            <w:r w:rsidR="00E460E9">
              <w:rPr>
                <w:noProof/>
                <w:webHidden/>
              </w:rPr>
            </w:r>
            <w:r w:rsidR="00E460E9">
              <w:rPr>
                <w:noProof/>
                <w:webHidden/>
              </w:rPr>
              <w:fldChar w:fldCharType="separate"/>
            </w:r>
            <w:r w:rsidR="00384587">
              <w:rPr>
                <w:noProof/>
                <w:webHidden/>
              </w:rPr>
              <w:t>8</w:t>
            </w:r>
            <w:r w:rsidR="00E460E9">
              <w:rPr>
                <w:noProof/>
                <w:webHidden/>
              </w:rPr>
              <w:fldChar w:fldCharType="end"/>
            </w:r>
          </w:hyperlink>
        </w:p>
        <w:p w14:paraId="40B0FE19" w14:textId="37E70C7F" w:rsidR="00E460E9" w:rsidRDefault="005F3930">
          <w:pPr>
            <w:pStyle w:val="TOC3"/>
            <w:tabs>
              <w:tab w:val="right" w:pos="6470"/>
            </w:tabs>
            <w:rPr>
              <w:rFonts w:asciiTheme="minorHAnsi" w:eastAsiaTheme="minorEastAsia" w:hAnsiTheme="minorHAnsi" w:cstheme="minorBidi"/>
              <w:noProof/>
              <w:sz w:val="22"/>
              <w:szCs w:val="22"/>
            </w:rPr>
          </w:pPr>
          <w:hyperlink w:anchor="_Toc31377112" w:history="1">
            <w:r w:rsidR="00E460E9" w:rsidRPr="00D72C5E">
              <w:rPr>
                <w:rStyle w:val="Hyperlink"/>
                <w:noProof/>
              </w:rPr>
              <w:t>Value of Open Source Software</w:t>
            </w:r>
            <w:r w:rsidR="00E460E9">
              <w:rPr>
                <w:noProof/>
                <w:webHidden/>
              </w:rPr>
              <w:tab/>
            </w:r>
            <w:r w:rsidR="00E460E9">
              <w:rPr>
                <w:noProof/>
                <w:webHidden/>
              </w:rPr>
              <w:fldChar w:fldCharType="begin"/>
            </w:r>
            <w:r w:rsidR="00E460E9">
              <w:rPr>
                <w:noProof/>
                <w:webHidden/>
              </w:rPr>
              <w:instrText xml:space="preserve"> PAGEREF _Toc31377112 \h </w:instrText>
            </w:r>
            <w:r w:rsidR="00E460E9">
              <w:rPr>
                <w:noProof/>
                <w:webHidden/>
              </w:rPr>
            </w:r>
            <w:r w:rsidR="00E460E9">
              <w:rPr>
                <w:noProof/>
                <w:webHidden/>
              </w:rPr>
              <w:fldChar w:fldCharType="separate"/>
            </w:r>
            <w:r w:rsidR="00384587">
              <w:rPr>
                <w:noProof/>
                <w:webHidden/>
              </w:rPr>
              <w:t>8</w:t>
            </w:r>
            <w:r w:rsidR="00E460E9">
              <w:rPr>
                <w:noProof/>
                <w:webHidden/>
              </w:rPr>
              <w:fldChar w:fldCharType="end"/>
            </w:r>
          </w:hyperlink>
        </w:p>
        <w:p w14:paraId="6110D4BB" w14:textId="1EFE1FA6" w:rsidR="00E460E9" w:rsidRDefault="005F3930">
          <w:pPr>
            <w:pStyle w:val="TOC3"/>
            <w:tabs>
              <w:tab w:val="right" w:pos="6470"/>
            </w:tabs>
            <w:rPr>
              <w:rFonts w:asciiTheme="minorHAnsi" w:eastAsiaTheme="minorEastAsia" w:hAnsiTheme="minorHAnsi" w:cstheme="minorBidi"/>
              <w:noProof/>
              <w:sz w:val="22"/>
              <w:szCs w:val="22"/>
            </w:rPr>
          </w:pPr>
          <w:hyperlink w:anchor="_Toc31377113" w:history="1">
            <w:r w:rsidR="00E460E9" w:rsidRPr="00D72C5E">
              <w:rPr>
                <w:rStyle w:val="Hyperlink"/>
                <w:noProof/>
              </w:rPr>
              <w:t>GPA’s Open Source Products</w:t>
            </w:r>
            <w:r w:rsidR="00E460E9">
              <w:rPr>
                <w:noProof/>
                <w:webHidden/>
              </w:rPr>
              <w:tab/>
            </w:r>
            <w:r w:rsidR="00E460E9">
              <w:rPr>
                <w:noProof/>
                <w:webHidden/>
              </w:rPr>
              <w:fldChar w:fldCharType="begin"/>
            </w:r>
            <w:r w:rsidR="00E460E9">
              <w:rPr>
                <w:noProof/>
                <w:webHidden/>
              </w:rPr>
              <w:instrText xml:space="preserve"> PAGEREF _Toc31377113 \h </w:instrText>
            </w:r>
            <w:r w:rsidR="00E460E9">
              <w:rPr>
                <w:noProof/>
                <w:webHidden/>
              </w:rPr>
            </w:r>
            <w:r w:rsidR="00E460E9">
              <w:rPr>
                <w:noProof/>
                <w:webHidden/>
              </w:rPr>
              <w:fldChar w:fldCharType="separate"/>
            </w:r>
            <w:r w:rsidR="00384587">
              <w:rPr>
                <w:noProof/>
                <w:webHidden/>
              </w:rPr>
              <w:t>9</w:t>
            </w:r>
            <w:r w:rsidR="00E460E9">
              <w:rPr>
                <w:noProof/>
                <w:webHidden/>
              </w:rPr>
              <w:fldChar w:fldCharType="end"/>
            </w:r>
          </w:hyperlink>
        </w:p>
        <w:p w14:paraId="5DBDE6FE" w14:textId="1FFDFD78" w:rsidR="00E460E9" w:rsidRDefault="005F3930">
          <w:pPr>
            <w:pStyle w:val="TOC1"/>
            <w:rPr>
              <w:rFonts w:asciiTheme="minorHAnsi" w:eastAsiaTheme="minorEastAsia" w:hAnsiTheme="minorHAnsi" w:cstheme="minorBidi"/>
              <w:bCs w:val="0"/>
              <w:noProof/>
            </w:rPr>
          </w:pPr>
          <w:hyperlink w:anchor="_Toc31377114" w:history="1">
            <w:r w:rsidR="00E460E9" w:rsidRPr="00D72C5E">
              <w:rPr>
                <w:rStyle w:val="Hyperlink"/>
                <w:noProof/>
              </w:rPr>
              <w:t>IV.</w:t>
            </w:r>
            <w:r w:rsidR="00E460E9">
              <w:rPr>
                <w:rFonts w:asciiTheme="minorHAnsi" w:eastAsiaTheme="minorEastAsia" w:hAnsiTheme="minorHAnsi" w:cstheme="minorBidi"/>
                <w:bCs w:val="0"/>
                <w:noProof/>
              </w:rPr>
              <w:t xml:space="preserve">  </w:t>
            </w:r>
            <w:r w:rsidR="00E460E9" w:rsidRPr="00D72C5E">
              <w:rPr>
                <w:rStyle w:val="Hyperlink"/>
                <w:noProof/>
              </w:rPr>
              <w:t>Business Solution</w:t>
            </w:r>
            <w:r w:rsidR="00E460E9">
              <w:rPr>
                <w:noProof/>
                <w:webHidden/>
              </w:rPr>
              <w:tab/>
            </w:r>
            <w:r w:rsidR="00E460E9">
              <w:rPr>
                <w:noProof/>
                <w:webHidden/>
              </w:rPr>
              <w:fldChar w:fldCharType="begin"/>
            </w:r>
            <w:r w:rsidR="00E460E9">
              <w:rPr>
                <w:noProof/>
                <w:webHidden/>
              </w:rPr>
              <w:instrText xml:space="preserve"> PAGEREF _Toc31377114 \h </w:instrText>
            </w:r>
            <w:r w:rsidR="00E460E9">
              <w:rPr>
                <w:noProof/>
                <w:webHidden/>
              </w:rPr>
            </w:r>
            <w:r w:rsidR="00E460E9">
              <w:rPr>
                <w:noProof/>
                <w:webHidden/>
              </w:rPr>
              <w:fldChar w:fldCharType="separate"/>
            </w:r>
            <w:r w:rsidR="00384587">
              <w:rPr>
                <w:noProof/>
                <w:webHidden/>
              </w:rPr>
              <w:t>15</w:t>
            </w:r>
            <w:r w:rsidR="00E460E9">
              <w:rPr>
                <w:noProof/>
                <w:webHidden/>
              </w:rPr>
              <w:fldChar w:fldCharType="end"/>
            </w:r>
          </w:hyperlink>
        </w:p>
        <w:p w14:paraId="59538F0A" w14:textId="682FFE89" w:rsidR="00E460E9" w:rsidRDefault="005F3930">
          <w:pPr>
            <w:pStyle w:val="TOC3"/>
            <w:tabs>
              <w:tab w:val="right" w:pos="6470"/>
            </w:tabs>
            <w:rPr>
              <w:rFonts w:asciiTheme="minorHAnsi" w:eastAsiaTheme="minorEastAsia" w:hAnsiTheme="minorHAnsi" w:cstheme="minorBidi"/>
              <w:noProof/>
              <w:sz w:val="22"/>
              <w:szCs w:val="22"/>
            </w:rPr>
          </w:pPr>
          <w:hyperlink w:anchor="_Toc31377115" w:history="1">
            <w:r w:rsidR="00E460E9" w:rsidRPr="00D72C5E">
              <w:rPr>
                <w:rStyle w:val="Hyperlink"/>
                <w:noProof/>
              </w:rPr>
              <w:t>The GPA Proposed Solution -- openADI</w:t>
            </w:r>
            <w:r w:rsidR="00E460E9">
              <w:rPr>
                <w:noProof/>
                <w:webHidden/>
              </w:rPr>
              <w:tab/>
            </w:r>
            <w:r w:rsidR="00E460E9">
              <w:rPr>
                <w:noProof/>
                <w:webHidden/>
              </w:rPr>
              <w:fldChar w:fldCharType="begin"/>
            </w:r>
            <w:r w:rsidR="00E460E9">
              <w:rPr>
                <w:noProof/>
                <w:webHidden/>
              </w:rPr>
              <w:instrText xml:space="preserve"> PAGEREF _Toc31377115 \h </w:instrText>
            </w:r>
            <w:r w:rsidR="00E460E9">
              <w:rPr>
                <w:noProof/>
                <w:webHidden/>
              </w:rPr>
            </w:r>
            <w:r w:rsidR="00E460E9">
              <w:rPr>
                <w:noProof/>
                <w:webHidden/>
              </w:rPr>
              <w:fldChar w:fldCharType="separate"/>
            </w:r>
            <w:r w:rsidR="00384587">
              <w:rPr>
                <w:noProof/>
                <w:webHidden/>
              </w:rPr>
              <w:t>15</w:t>
            </w:r>
            <w:r w:rsidR="00E460E9">
              <w:rPr>
                <w:noProof/>
                <w:webHidden/>
              </w:rPr>
              <w:fldChar w:fldCharType="end"/>
            </w:r>
          </w:hyperlink>
        </w:p>
        <w:p w14:paraId="75A35AA1" w14:textId="2E2BA04E" w:rsidR="00E460E9" w:rsidRDefault="005F3930">
          <w:pPr>
            <w:pStyle w:val="TOC3"/>
            <w:tabs>
              <w:tab w:val="right" w:pos="6470"/>
            </w:tabs>
            <w:rPr>
              <w:rFonts w:asciiTheme="minorHAnsi" w:eastAsiaTheme="minorEastAsia" w:hAnsiTheme="minorHAnsi" w:cstheme="minorBidi"/>
              <w:noProof/>
              <w:sz w:val="22"/>
              <w:szCs w:val="22"/>
            </w:rPr>
          </w:pPr>
          <w:hyperlink w:anchor="_Toc31377116" w:history="1">
            <w:r w:rsidR="00E460E9" w:rsidRPr="00D72C5E">
              <w:rPr>
                <w:rStyle w:val="Hyperlink"/>
                <w:noProof/>
              </w:rPr>
              <w:t>1 Project Organization and Staffing</w:t>
            </w:r>
            <w:r w:rsidR="00E460E9">
              <w:rPr>
                <w:noProof/>
                <w:webHidden/>
              </w:rPr>
              <w:tab/>
            </w:r>
            <w:r w:rsidR="00E460E9">
              <w:rPr>
                <w:noProof/>
                <w:webHidden/>
              </w:rPr>
              <w:fldChar w:fldCharType="begin"/>
            </w:r>
            <w:r w:rsidR="00E460E9">
              <w:rPr>
                <w:noProof/>
                <w:webHidden/>
              </w:rPr>
              <w:instrText xml:space="preserve"> PAGEREF _Toc31377116 \h </w:instrText>
            </w:r>
            <w:r w:rsidR="00E460E9">
              <w:rPr>
                <w:noProof/>
                <w:webHidden/>
              </w:rPr>
            </w:r>
            <w:r w:rsidR="00E460E9">
              <w:rPr>
                <w:noProof/>
                <w:webHidden/>
              </w:rPr>
              <w:fldChar w:fldCharType="separate"/>
            </w:r>
            <w:r w:rsidR="00384587">
              <w:rPr>
                <w:noProof/>
                <w:webHidden/>
              </w:rPr>
              <w:t>23</w:t>
            </w:r>
            <w:r w:rsidR="00E460E9">
              <w:rPr>
                <w:noProof/>
                <w:webHidden/>
              </w:rPr>
              <w:fldChar w:fldCharType="end"/>
            </w:r>
          </w:hyperlink>
        </w:p>
        <w:p w14:paraId="16D8D730" w14:textId="68BE415A" w:rsidR="00E460E9" w:rsidRDefault="005F3930">
          <w:pPr>
            <w:pStyle w:val="TOC3"/>
            <w:tabs>
              <w:tab w:val="right" w:pos="6470"/>
            </w:tabs>
            <w:rPr>
              <w:rFonts w:asciiTheme="minorHAnsi" w:eastAsiaTheme="minorEastAsia" w:hAnsiTheme="minorHAnsi" w:cstheme="minorBidi"/>
              <w:noProof/>
              <w:sz w:val="22"/>
              <w:szCs w:val="22"/>
            </w:rPr>
          </w:pPr>
          <w:hyperlink w:anchor="_Toc31377117" w:history="1">
            <w:r w:rsidR="00E460E9" w:rsidRPr="00D72C5E">
              <w:rPr>
                <w:rStyle w:val="Hyperlink"/>
                <w:noProof/>
              </w:rPr>
              <w:t>2 Functional Requirements</w:t>
            </w:r>
            <w:r w:rsidR="00E460E9">
              <w:rPr>
                <w:noProof/>
                <w:webHidden/>
              </w:rPr>
              <w:tab/>
            </w:r>
            <w:r w:rsidR="00E460E9">
              <w:rPr>
                <w:noProof/>
                <w:webHidden/>
              </w:rPr>
              <w:fldChar w:fldCharType="begin"/>
            </w:r>
            <w:r w:rsidR="00E460E9">
              <w:rPr>
                <w:noProof/>
                <w:webHidden/>
              </w:rPr>
              <w:instrText xml:space="preserve"> PAGEREF _Toc31377117 \h </w:instrText>
            </w:r>
            <w:r w:rsidR="00E460E9">
              <w:rPr>
                <w:noProof/>
                <w:webHidden/>
              </w:rPr>
            </w:r>
            <w:r w:rsidR="00E460E9">
              <w:rPr>
                <w:noProof/>
                <w:webHidden/>
              </w:rPr>
              <w:fldChar w:fldCharType="separate"/>
            </w:r>
            <w:r w:rsidR="00384587">
              <w:rPr>
                <w:noProof/>
                <w:webHidden/>
              </w:rPr>
              <w:t>24</w:t>
            </w:r>
            <w:r w:rsidR="00E460E9">
              <w:rPr>
                <w:noProof/>
                <w:webHidden/>
              </w:rPr>
              <w:fldChar w:fldCharType="end"/>
            </w:r>
          </w:hyperlink>
        </w:p>
        <w:p w14:paraId="17C41A4A" w14:textId="10950C45" w:rsidR="00E460E9" w:rsidRDefault="005F3930">
          <w:pPr>
            <w:pStyle w:val="TOC3"/>
            <w:tabs>
              <w:tab w:val="right" w:pos="6470"/>
            </w:tabs>
            <w:rPr>
              <w:rFonts w:asciiTheme="minorHAnsi" w:eastAsiaTheme="minorEastAsia" w:hAnsiTheme="minorHAnsi" w:cstheme="minorBidi"/>
              <w:noProof/>
              <w:sz w:val="22"/>
              <w:szCs w:val="22"/>
            </w:rPr>
          </w:pPr>
          <w:hyperlink w:anchor="_Toc31377118" w:history="1">
            <w:r w:rsidR="00E460E9" w:rsidRPr="00D72C5E">
              <w:rPr>
                <w:rStyle w:val="Hyperlink"/>
                <w:noProof/>
              </w:rPr>
              <w:t>3 Technical Requirements</w:t>
            </w:r>
            <w:r w:rsidR="00E460E9">
              <w:rPr>
                <w:noProof/>
                <w:webHidden/>
              </w:rPr>
              <w:tab/>
            </w:r>
            <w:r w:rsidR="00E460E9">
              <w:rPr>
                <w:noProof/>
                <w:webHidden/>
              </w:rPr>
              <w:fldChar w:fldCharType="begin"/>
            </w:r>
            <w:r w:rsidR="00E460E9">
              <w:rPr>
                <w:noProof/>
                <w:webHidden/>
              </w:rPr>
              <w:instrText xml:space="preserve"> PAGEREF _Toc31377118 \h </w:instrText>
            </w:r>
            <w:r w:rsidR="00E460E9">
              <w:rPr>
                <w:noProof/>
                <w:webHidden/>
              </w:rPr>
            </w:r>
            <w:r w:rsidR="00E460E9">
              <w:rPr>
                <w:noProof/>
                <w:webHidden/>
              </w:rPr>
              <w:fldChar w:fldCharType="separate"/>
            </w:r>
            <w:r w:rsidR="00384587">
              <w:rPr>
                <w:noProof/>
                <w:webHidden/>
              </w:rPr>
              <w:t>25</w:t>
            </w:r>
            <w:r w:rsidR="00E460E9">
              <w:rPr>
                <w:noProof/>
                <w:webHidden/>
              </w:rPr>
              <w:fldChar w:fldCharType="end"/>
            </w:r>
          </w:hyperlink>
        </w:p>
        <w:p w14:paraId="59315828" w14:textId="6231E4E8" w:rsidR="00E460E9" w:rsidRDefault="005F3930">
          <w:pPr>
            <w:pStyle w:val="TOC3"/>
            <w:tabs>
              <w:tab w:val="right" w:pos="6470"/>
            </w:tabs>
            <w:rPr>
              <w:rFonts w:asciiTheme="minorHAnsi" w:eastAsiaTheme="minorEastAsia" w:hAnsiTheme="minorHAnsi" w:cstheme="minorBidi"/>
              <w:noProof/>
              <w:sz w:val="22"/>
              <w:szCs w:val="22"/>
            </w:rPr>
          </w:pPr>
          <w:hyperlink w:anchor="_Toc31377119" w:history="1">
            <w:r w:rsidR="00E460E9" w:rsidRPr="00D72C5E">
              <w:rPr>
                <w:rStyle w:val="Hyperlink"/>
                <w:noProof/>
              </w:rPr>
              <w:t>4 Work Requirements</w:t>
            </w:r>
            <w:r w:rsidR="00E460E9">
              <w:rPr>
                <w:noProof/>
                <w:webHidden/>
              </w:rPr>
              <w:tab/>
            </w:r>
            <w:r w:rsidR="00E460E9">
              <w:rPr>
                <w:noProof/>
                <w:webHidden/>
              </w:rPr>
              <w:fldChar w:fldCharType="begin"/>
            </w:r>
            <w:r w:rsidR="00E460E9">
              <w:rPr>
                <w:noProof/>
                <w:webHidden/>
              </w:rPr>
              <w:instrText xml:space="preserve"> PAGEREF _Toc31377119 \h </w:instrText>
            </w:r>
            <w:r w:rsidR="00E460E9">
              <w:rPr>
                <w:noProof/>
                <w:webHidden/>
              </w:rPr>
            </w:r>
            <w:r w:rsidR="00E460E9">
              <w:rPr>
                <w:noProof/>
                <w:webHidden/>
              </w:rPr>
              <w:fldChar w:fldCharType="separate"/>
            </w:r>
            <w:r w:rsidR="00384587">
              <w:rPr>
                <w:noProof/>
                <w:webHidden/>
              </w:rPr>
              <w:t>27</w:t>
            </w:r>
            <w:r w:rsidR="00E460E9">
              <w:rPr>
                <w:noProof/>
                <w:webHidden/>
              </w:rPr>
              <w:fldChar w:fldCharType="end"/>
            </w:r>
          </w:hyperlink>
        </w:p>
        <w:p w14:paraId="550FD71D" w14:textId="191DCC3E" w:rsidR="00E460E9" w:rsidRDefault="005F3930">
          <w:pPr>
            <w:pStyle w:val="TOC3"/>
            <w:tabs>
              <w:tab w:val="right" w:pos="6470"/>
            </w:tabs>
            <w:rPr>
              <w:rFonts w:asciiTheme="minorHAnsi" w:eastAsiaTheme="minorEastAsia" w:hAnsiTheme="minorHAnsi" w:cstheme="minorBidi"/>
              <w:noProof/>
              <w:sz w:val="22"/>
              <w:szCs w:val="22"/>
            </w:rPr>
          </w:pPr>
          <w:hyperlink w:anchor="_Toc31377120" w:history="1">
            <w:r w:rsidR="00E460E9" w:rsidRPr="00D72C5E">
              <w:rPr>
                <w:rStyle w:val="Hyperlink"/>
                <w:noProof/>
              </w:rPr>
              <w:t>5 O&amp;M Support Requirements</w:t>
            </w:r>
            <w:r w:rsidR="00E460E9">
              <w:rPr>
                <w:noProof/>
                <w:webHidden/>
              </w:rPr>
              <w:tab/>
            </w:r>
            <w:r w:rsidR="00E460E9">
              <w:rPr>
                <w:noProof/>
                <w:webHidden/>
              </w:rPr>
              <w:fldChar w:fldCharType="begin"/>
            </w:r>
            <w:r w:rsidR="00E460E9">
              <w:rPr>
                <w:noProof/>
                <w:webHidden/>
              </w:rPr>
              <w:instrText xml:space="preserve"> PAGEREF _Toc31377120 \h </w:instrText>
            </w:r>
            <w:r w:rsidR="00E460E9">
              <w:rPr>
                <w:noProof/>
                <w:webHidden/>
              </w:rPr>
            </w:r>
            <w:r w:rsidR="00E460E9">
              <w:rPr>
                <w:noProof/>
                <w:webHidden/>
              </w:rPr>
              <w:fldChar w:fldCharType="separate"/>
            </w:r>
            <w:r w:rsidR="00384587">
              <w:rPr>
                <w:noProof/>
                <w:webHidden/>
              </w:rPr>
              <w:t>28</w:t>
            </w:r>
            <w:r w:rsidR="00E460E9">
              <w:rPr>
                <w:noProof/>
                <w:webHidden/>
              </w:rPr>
              <w:fldChar w:fldCharType="end"/>
            </w:r>
          </w:hyperlink>
        </w:p>
        <w:p w14:paraId="5BBC528B" w14:textId="2659CEA6" w:rsidR="00E460E9" w:rsidRDefault="005F3930">
          <w:pPr>
            <w:pStyle w:val="TOC3"/>
            <w:tabs>
              <w:tab w:val="right" w:pos="6470"/>
            </w:tabs>
            <w:rPr>
              <w:rFonts w:asciiTheme="minorHAnsi" w:eastAsiaTheme="minorEastAsia" w:hAnsiTheme="minorHAnsi" w:cstheme="minorBidi"/>
              <w:noProof/>
              <w:sz w:val="22"/>
              <w:szCs w:val="22"/>
            </w:rPr>
          </w:pPr>
          <w:hyperlink w:anchor="_Toc31377121" w:history="1">
            <w:r w:rsidR="00E460E9" w:rsidRPr="00D72C5E">
              <w:rPr>
                <w:rStyle w:val="Hyperlink"/>
                <w:noProof/>
              </w:rPr>
              <w:t>6 Project Schedule</w:t>
            </w:r>
            <w:r w:rsidR="00E460E9">
              <w:rPr>
                <w:noProof/>
                <w:webHidden/>
              </w:rPr>
              <w:tab/>
            </w:r>
            <w:r w:rsidR="00E460E9">
              <w:rPr>
                <w:noProof/>
                <w:webHidden/>
              </w:rPr>
              <w:fldChar w:fldCharType="begin"/>
            </w:r>
            <w:r w:rsidR="00E460E9">
              <w:rPr>
                <w:noProof/>
                <w:webHidden/>
              </w:rPr>
              <w:instrText xml:space="preserve"> PAGEREF _Toc31377121 \h </w:instrText>
            </w:r>
            <w:r w:rsidR="00E460E9">
              <w:rPr>
                <w:noProof/>
                <w:webHidden/>
              </w:rPr>
            </w:r>
            <w:r w:rsidR="00E460E9">
              <w:rPr>
                <w:noProof/>
                <w:webHidden/>
              </w:rPr>
              <w:fldChar w:fldCharType="separate"/>
            </w:r>
            <w:r w:rsidR="00384587">
              <w:rPr>
                <w:noProof/>
                <w:webHidden/>
              </w:rPr>
              <w:t>29</w:t>
            </w:r>
            <w:r w:rsidR="00E460E9">
              <w:rPr>
                <w:noProof/>
                <w:webHidden/>
              </w:rPr>
              <w:fldChar w:fldCharType="end"/>
            </w:r>
          </w:hyperlink>
        </w:p>
        <w:p w14:paraId="62B7849F" w14:textId="2CAB30BC" w:rsidR="00E460E9" w:rsidRDefault="005F3930">
          <w:pPr>
            <w:pStyle w:val="TOC1"/>
            <w:rPr>
              <w:rFonts w:asciiTheme="minorHAnsi" w:eastAsiaTheme="minorEastAsia" w:hAnsiTheme="minorHAnsi" w:cstheme="minorBidi"/>
              <w:bCs w:val="0"/>
              <w:noProof/>
            </w:rPr>
          </w:pPr>
          <w:hyperlink w:anchor="_Toc31377122" w:history="1">
            <w:r w:rsidR="00E460E9" w:rsidRPr="00D72C5E">
              <w:rPr>
                <w:rStyle w:val="Hyperlink"/>
                <w:noProof/>
              </w:rPr>
              <w:t>V.</w:t>
            </w:r>
            <w:r w:rsidR="00E460E9">
              <w:rPr>
                <w:rFonts w:asciiTheme="minorHAnsi" w:eastAsiaTheme="minorEastAsia" w:hAnsiTheme="minorHAnsi" w:cstheme="minorBidi"/>
                <w:bCs w:val="0"/>
                <w:noProof/>
              </w:rPr>
              <w:t xml:space="preserve">  </w:t>
            </w:r>
            <w:r w:rsidR="00E460E9" w:rsidRPr="00D72C5E">
              <w:rPr>
                <w:rStyle w:val="Hyperlink"/>
                <w:noProof/>
              </w:rPr>
              <w:t>Certification Letter</w:t>
            </w:r>
            <w:r w:rsidR="00E460E9">
              <w:rPr>
                <w:noProof/>
                <w:webHidden/>
              </w:rPr>
              <w:tab/>
            </w:r>
            <w:r w:rsidR="00E460E9">
              <w:rPr>
                <w:noProof/>
                <w:webHidden/>
              </w:rPr>
              <w:fldChar w:fldCharType="begin"/>
            </w:r>
            <w:r w:rsidR="00E460E9">
              <w:rPr>
                <w:noProof/>
                <w:webHidden/>
              </w:rPr>
              <w:instrText xml:space="preserve"> PAGEREF _Toc31377122 \h </w:instrText>
            </w:r>
            <w:r w:rsidR="00E460E9">
              <w:rPr>
                <w:noProof/>
                <w:webHidden/>
              </w:rPr>
            </w:r>
            <w:r w:rsidR="00E460E9">
              <w:rPr>
                <w:noProof/>
                <w:webHidden/>
              </w:rPr>
              <w:fldChar w:fldCharType="separate"/>
            </w:r>
            <w:r w:rsidR="00384587">
              <w:rPr>
                <w:noProof/>
                <w:webHidden/>
              </w:rPr>
              <w:t>30</w:t>
            </w:r>
            <w:r w:rsidR="00E460E9">
              <w:rPr>
                <w:noProof/>
                <w:webHidden/>
              </w:rPr>
              <w:fldChar w:fldCharType="end"/>
            </w:r>
          </w:hyperlink>
        </w:p>
        <w:p w14:paraId="3567B7B5" w14:textId="54B02EA5" w:rsidR="00E460E9" w:rsidRDefault="005F3930">
          <w:pPr>
            <w:pStyle w:val="TOC1"/>
            <w:rPr>
              <w:rFonts w:asciiTheme="minorHAnsi" w:eastAsiaTheme="minorEastAsia" w:hAnsiTheme="minorHAnsi" w:cstheme="minorBidi"/>
              <w:bCs w:val="0"/>
              <w:noProof/>
            </w:rPr>
          </w:pPr>
          <w:hyperlink w:anchor="_Toc31377123" w:history="1">
            <w:r w:rsidR="00E460E9" w:rsidRPr="00D72C5E">
              <w:rPr>
                <w:rStyle w:val="Hyperlink"/>
                <w:noProof/>
              </w:rPr>
              <w:t>VI.</w:t>
            </w:r>
            <w:r w:rsidR="00E460E9">
              <w:rPr>
                <w:rFonts w:asciiTheme="minorHAnsi" w:eastAsiaTheme="minorEastAsia" w:hAnsiTheme="minorHAnsi" w:cstheme="minorBidi"/>
                <w:bCs w:val="0"/>
                <w:noProof/>
              </w:rPr>
              <w:t xml:space="preserve">  </w:t>
            </w:r>
            <w:r w:rsidR="00E460E9" w:rsidRPr="00D72C5E">
              <w:rPr>
                <w:rStyle w:val="Hyperlink"/>
                <w:noProof/>
              </w:rPr>
              <w:t>Proposal Pricing and Cost</w:t>
            </w:r>
            <w:r w:rsidR="00E460E9">
              <w:rPr>
                <w:noProof/>
                <w:webHidden/>
              </w:rPr>
              <w:tab/>
            </w:r>
            <w:r w:rsidR="00E460E9">
              <w:rPr>
                <w:noProof/>
                <w:webHidden/>
              </w:rPr>
              <w:fldChar w:fldCharType="begin"/>
            </w:r>
            <w:r w:rsidR="00E460E9">
              <w:rPr>
                <w:noProof/>
                <w:webHidden/>
              </w:rPr>
              <w:instrText xml:space="preserve"> PAGEREF _Toc31377123 \h </w:instrText>
            </w:r>
            <w:r w:rsidR="00E460E9">
              <w:rPr>
                <w:noProof/>
                <w:webHidden/>
              </w:rPr>
            </w:r>
            <w:r w:rsidR="00E460E9">
              <w:rPr>
                <w:noProof/>
                <w:webHidden/>
              </w:rPr>
              <w:fldChar w:fldCharType="separate"/>
            </w:r>
            <w:r w:rsidR="00384587">
              <w:rPr>
                <w:noProof/>
                <w:webHidden/>
              </w:rPr>
              <w:t>31</w:t>
            </w:r>
            <w:r w:rsidR="00E460E9">
              <w:rPr>
                <w:noProof/>
                <w:webHidden/>
              </w:rPr>
              <w:fldChar w:fldCharType="end"/>
            </w:r>
          </w:hyperlink>
        </w:p>
        <w:p w14:paraId="66FF5C77" w14:textId="6F1841E0" w:rsidR="00E460E9" w:rsidRDefault="005F3930">
          <w:pPr>
            <w:pStyle w:val="TOC1"/>
            <w:rPr>
              <w:rStyle w:val="Hyperlink"/>
              <w:noProof/>
            </w:rPr>
          </w:pPr>
          <w:hyperlink w:anchor="_Toc31377124" w:history="1">
            <w:r w:rsidR="00E460E9" w:rsidRPr="00D72C5E">
              <w:rPr>
                <w:rStyle w:val="Hyperlink"/>
                <w:noProof/>
              </w:rPr>
              <w:t>VII.</w:t>
            </w:r>
            <w:r w:rsidR="00E460E9">
              <w:rPr>
                <w:rFonts w:asciiTheme="minorHAnsi" w:eastAsiaTheme="minorEastAsia" w:hAnsiTheme="minorHAnsi" w:cstheme="minorBidi"/>
                <w:bCs w:val="0"/>
                <w:noProof/>
              </w:rPr>
              <w:t xml:space="preserve">  </w:t>
            </w:r>
            <w:r w:rsidR="00E460E9" w:rsidRPr="00D72C5E">
              <w:rPr>
                <w:rStyle w:val="Hyperlink"/>
                <w:noProof/>
              </w:rPr>
              <w:t>Small Business Contracting Plan</w:t>
            </w:r>
            <w:r w:rsidR="00E460E9">
              <w:rPr>
                <w:noProof/>
                <w:webHidden/>
              </w:rPr>
              <w:tab/>
            </w:r>
            <w:r w:rsidR="00E460E9">
              <w:rPr>
                <w:noProof/>
                <w:webHidden/>
              </w:rPr>
              <w:fldChar w:fldCharType="begin"/>
            </w:r>
            <w:r w:rsidR="00E460E9">
              <w:rPr>
                <w:noProof/>
                <w:webHidden/>
              </w:rPr>
              <w:instrText xml:space="preserve"> PAGEREF _Toc31377124 \h </w:instrText>
            </w:r>
            <w:r w:rsidR="00E460E9">
              <w:rPr>
                <w:noProof/>
                <w:webHidden/>
              </w:rPr>
            </w:r>
            <w:r w:rsidR="00E460E9">
              <w:rPr>
                <w:noProof/>
                <w:webHidden/>
              </w:rPr>
              <w:fldChar w:fldCharType="separate"/>
            </w:r>
            <w:r w:rsidR="00384587">
              <w:rPr>
                <w:noProof/>
                <w:webHidden/>
              </w:rPr>
              <w:t>32</w:t>
            </w:r>
            <w:r w:rsidR="00E460E9">
              <w:rPr>
                <w:noProof/>
                <w:webHidden/>
              </w:rPr>
              <w:fldChar w:fldCharType="end"/>
            </w:r>
          </w:hyperlink>
        </w:p>
        <w:p w14:paraId="1632024D" w14:textId="77777777" w:rsidR="00E460E9" w:rsidRPr="00E460E9" w:rsidRDefault="00E460E9" w:rsidP="00E460E9">
          <w:pPr>
            <w:pStyle w:val="Body"/>
            <w:rPr>
              <w:rFonts w:eastAsiaTheme="minorEastAsia"/>
            </w:rPr>
          </w:pPr>
        </w:p>
        <w:p w14:paraId="6D8B2688" w14:textId="048D81AC" w:rsidR="00E460E9" w:rsidRDefault="005F3930">
          <w:pPr>
            <w:pStyle w:val="TOC2"/>
            <w:rPr>
              <w:rFonts w:asciiTheme="minorHAnsi" w:eastAsiaTheme="minorEastAsia" w:hAnsiTheme="minorHAnsi" w:cstheme="minorBidi"/>
              <w:bCs w:val="0"/>
              <w:noProof/>
              <w:sz w:val="22"/>
              <w:szCs w:val="22"/>
            </w:rPr>
          </w:pPr>
          <w:hyperlink w:anchor="_Toc31377125" w:history="1">
            <w:r w:rsidR="00E460E9" w:rsidRPr="00D72C5E">
              <w:rPr>
                <w:rStyle w:val="Hyperlink"/>
                <w:noProof/>
              </w:rPr>
              <w:t>Appendix A: The MIT License</w:t>
            </w:r>
            <w:r w:rsidR="00E460E9">
              <w:rPr>
                <w:noProof/>
                <w:webHidden/>
              </w:rPr>
              <w:tab/>
            </w:r>
            <w:r w:rsidR="00E460E9">
              <w:rPr>
                <w:noProof/>
                <w:webHidden/>
              </w:rPr>
              <w:fldChar w:fldCharType="begin"/>
            </w:r>
            <w:r w:rsidR="00E460E9">
              <w:rPr>
                <w:noProof/>
                <w:webHidden/>
              </w:rPr>
              <w:instrText xml:space="preserve"> PAGEREF _Toc31377125 \h </w:instrText>
            </w:r>
            <w:r w:rsidR="00E460E9">
              <w:rPr>
                <w:noProof/>
                <w:webHidden/>
              </w:rPr>
            </w:r>
            <w:r w:rsidR="00E460E9">
              <w:rPr>
                <w:noProof/>
                <w:webHidden/>
              </w:rPr>
              <w:fldChar w:fldCharType="separate"/>
            </w:r>
            <w:r w:rsidR="00384587">
              <w:rPr>
                <w:noProof/>
                <w:webHidden/>
              </w:rPr>
              <w:t>33</w:t>
            </w:r>
            <w:r w:rsidR="00E460E9">
              <w:rPr>
                <w:noProof/>
                <w:webHidden/>
              </w:rPr>
              <w:fldChar w:fldCharType="end"/>
            </w:r>
          </w:hyperlink>
        </w:p>
        <w:p w14:paraId="0E521F6D" w14:textId="7A02BB51" w:rsidR="00E460E9" w:rsidRDefault="005F3930">
          <w:pPr>
            <w:pStyle w:val="TOC2"/>
            <w:rPr>
              <w:rFonts w:asciiTheme="minorHAnsi" w:eastAsiaTheme="minorEastAsia" w:hAnsiTheme="minorHAnsi" w:cstheme="minorBidi"/>
              <w:bCs w:val="0"/>
              <w:noProof/>
              <w:sz w:val="22"/>
              <w:szCs w:val="22"/>
            </w:rPr>
          </w:pPr>
          <w:hyperlink w:anchor="_Toc31377126" w:history="1">
            <w:r w:rsidR="00E460E9" w:rsidRPr="00D72C5E">
              <w:rPr>
                <w:rStyle w:val="Hyperlink"/>
                <w:noProof/>
              </w:rPr>
              <w:t>Appendix B: Visualization Using Grafana®</w:t>
            </w:r>
            <w:r w:rsidR="00E460E9">
              <w:rPr>
                <w:noProof/>
                <w:webHidden/>
              </w:rPr>
              <w:tab/>
            </w:r>
            <w:r w:rsidR="00E460E9">
              <w:rPr>
                <w:noProof/>
                <w:webHidden/>
              </w:rPr>
              <w:fldChar w:fldCharType="begin"/>
            </w:r>
            <w:r w:rsidR="00E460E9">
              <w:rPr>
                <w:noProof/>
                <w:webHidden/>
              </w:rPr>
              <w:instrText xml:space="preserve"> PAGEREF _Toc31377126 \h </w:instrText>
            </w:r>
            <w:r w:rsidR="00E460E9">
              <w:rPr>
                <w:noProof/>
                <w:webHidden/>
              </w:rPr>
            </w:r>
            <w:r w:rsidR="00E460E9">
              <w:rPr>
                <w:noProof/>
                <w:webHidden/>
              </w:rPr>
              <w:fldChar w:fldCharType="separate"/>
            </w:r>
            <w:r w:rsidR="00384587">
              <w:rPr>
                <w:noProof/>
                <w:webHidden/>
              </w:rPr>
              <w:t>34</w:t>
            </w:r>
            <w:r w:rsidR="00E460E9">
              <w:rPr>
                <w:noProof/>
                <w:webHidden/>
              </w:rPr>
              <w:fldChar w:fldCharType="end"/>
            </w:r>
          </w:hyperlink>
        </w:p>
        <w:p w14:paraId="7F8C6159" w14:textId="053C0A56" w:rsidR="00E460E9" w:rsidRDefault="005F3930">
          <w:pPr>
            <w:pStyle w:val="TOC2"/>
            <w:rPr>
              <w:rFonts w:asciiTheme="minorHAnsi" w:eastAsiaTheme="minorEastAsia" w:hAnsiTheme="minorHAnsi" w:cstheme="minorBidi"/>
              <w:bCs w:val="0"/>
              <w:noProof/>
              <w:sz w:val="22"/>
              <w:szCs w:val="22"/>
            </w:rPr>
          </w:pPr>
          <w:hyperlink w:anchor="_Toc31377127" w:history="1">
            <w:r w:rsidR="00E460E9" w:rsidRPr="00D72C5E">
              <w:rPr>
                <w:rStyle w:val="Hyperlink"/>
                <w:noProof/>
              </w:rPr>
              <w:t>Appendix C: Alarming and Automated Notifications</w:t>
            </w:r>
            <w:r w:rsidR="00E460E9">
              <w:rPr>
                <w:noProof/>
                <w:webHidden/>
              </w:rPr>
              <w:tab/>
            </w:r>
            <w:r w:rsidR="00E460E9">
              <w:rPr>
                <w:noProof/>
                <w:webHidden/>
              </w:rPr>
              <w:fldChar w:fldCharType="begin"/>
            </w:r>
            <w:r w:rsidR="00E460E9">
              <w:rPr>
                <w:noProof/>
                <w:webHidden/>
              </w:rPr>
              <w:instrText xml:space="preserve"> PAGEREF _Toc31377127 \h </w:instrText>
            </w:r>
            <w:r w:rsidR="00E460E9">
              <w:rPr>
                <w:noProof/>
                <w:webHidden/>
              </w:rPr>
            </w:r>
            <w:r w:rsidR="00E460E9">
              <w:rPr>
                <w:noProof/>
                <w:webHidden/>
              </w:rPr>
              <w:fldChar w:fldCharType="separate"/>
            </w:r>
            <w:r w:rsidR="00384587">
              <w:rPr>
                <w:noProof/>
                <w:webHidden/>
              </w:rPr>
              <w:t>36</w:t>
            </w:r>
            <w:r w:rsidR="00E460E9">
              <w:rPr>
                <w:noProof/>
                <w:webHidden/>
              </w:rPr>
              <w:fldChar w:fldCharType="end"/>
            </w:r>
          </w:hyperlink>
        </w:p>
        <w:p w14:paraId="477FA1D8" w14:textId="27A7C0B6" w:rsidR="00E460E9" w:rsidRDefault="005F3930">
          <w:pPr>
            <w:pStyle w:val="TOC2"/>
            <w:rPr>
              <w:rFonts w:asciiTheme="minorHAnsi" w:eastAsiaTheme="minorEastAsia" w:hAnsiTheme="minorHAnsi" w:cstheme="minorBidi"/>
              <w:bCs w:val="0"/>
              <w:noProof/>
              <w:sz w:val="22"/>
              <w:szCs w:val="22"/>
            </w:rPr>
          </w:pPr>
          <w:hyperlink w:anchor="_Toc31377128" w:history="1">
            <w:r w:rsidR="00E460E9" w:rsidRPr="00D72C5E">
              <w:rPr>
                <w:rStyle w:val="Hyperlink"/>
                <w:noProof/>
              </w:rPr>
              <w:t>Appendix D: The Value of Sandboxed Analytics</w:t>
            </w:r>
            <w:r w:rsidR="00E460E9">
              <w:rPr>
                <w:noProof/>
                <w:webHidden/>
              </w:rPr>
              <w:tab/>
            </w:r>
            <w:r w:rsidR="00E460E9">
              <w:rPr>
                <w:noProof/>
                <w:webHidden/>
              </w:rPr>
              <w:fldChar w:fldCharType="begin"/>
            </w:r>
            <w:r w:rsidR="00E460E9">
              <w:rPr>
                <w:noProof/>
                <w:webHidden/>
              </w:rPr>
              <w:instrText xml:space="preserve"> PAGEREF _Toc31377128 \h </w:instrText>
            </w:r>
            <w:r w:rsidR="00E460E9">
              <w:rPr>
                <w:noProof/>
                <w:webHidden/>
              </w:rPr>
            </w:r>
            <w:r w:rsidR="00E460E9">
              <w:rPr>
                <w:noProof/>
                <w:webHidden/>
              </w:rPr>
              <w:fldChar w:fldCharType="separate"/>
            </w:r>
            <w:r w:rsidR="00384587">
              <w:rPr>
                <w:noProof/>
                <w:webHidden/>
              </w:rPr>
              <w:t>38</w:t>
            </w:r>
            <w:r w:rsidR="00E460E9">
              <w:rPr>
                <w:noProof/>
                <w:webHidden/>
              </w:rPr>
              <w:fldChar w:fldCharType="end"/>
            </w:r>
          </w:hyperlink>
        </w:p>
        <w:p w14:paraId="0670C7E5" w14:textId="283952A9" w:rsidR="00E460E9" w:rsidRDefault="005F3930">
          <w:pPr>
            <w:pStyle w:val="TOC2"/>
            <w:rPr>
              <w:rFonts w:asciiTheme="minorHAnsi" w:eastAsiaTheme="minorEastAsia" w:hAnsiTheme="minorHAnsi" w:cstheme="minorBidi"/>
              <w:bCs w:val="0"/>
              <w:noProof/>
              <w:sz w:val="22"/>
              <w:szCs w:val="22"/>
            </w:rPr>
          </w:pPr>
          <w:hyperlink w:anchor="_Toc31377129" w:history="1">
            <w:r w:rsidR="00E460E9" w:rsidRPr="00D72C5E">
              <w:rPr>
                <w:rStyle w:val="Hyperlink"/>
                <w:noProof/>
              </w:rPr>
              <w:t>Appendix E: The GPA Gemstone Library</w:t>
            </w:r>
            <w:r w:rsidR="00E460E9">
              <w:rPr>
                <w:noProof/>
                <w:webHidden/>
              </w:rPr>
              <w:tab/>
            </w:r>
            <w:r w:rsidR="00E460E9">
              <w:rPr>
                <w:noProof/>
                <w:webHidden/>
              </w:rPr>
              <w:fldChar w:fldCharType="begin"/>
            </w:r>
            <w:r w:rsidR="00E460E9">
              <w:rPr>
                <w:noProof/>
                <w:webHidden/>
              </w:rPr>
              <w:instrText xml:space="preserve"> PAGEREF _Toc31377129 \h </w:instrText>
            </w:r>
            <w:r w:rsidR="00E460E9">
              <w:rPr>
                <w:noProof/>
                <w:webHidden/>
              </w:rPr>
            </w:r>
            <w:r w:rsidR="00E460E9">
              <w:rPr>
                <w:noProof/>
                <w:webHidden/>
              </w:rPr>
              <w:fldChar w:fldCharType="separate"/>
            </w:r>
            <w:r w:rsidR="00384587">
              <w:rPr>
                <w:noProof/>
                <w:webHidden/>
              </w:rPr>
              <w:t>39</w:t>
            </w:r>
            <w:r w:rsidR="00E460E9">
              <w:rPr>
                <w:noProof/>
                <w:webHidden/>
              </w:rPr>
              <w:fldChar w:fldCharType="end"/>
            </w:r>
          </w:hyperlink>
        </w:p>
        <w:p w14:paraId="2FB1494D" w14:textId="35F71870" w:rsidR="00E460E9" w:rsidRDefault="005F3930">
          <w:pPr>
            <w:pStyle w:val="TOC2"/>
            <w:rPr>
              <w:rFonts w:asciiTheme="minorHAnsi" w:eastAsiaTheme="minorEastAsia" w:hAnsiTheme="minorHAnsi" w:cstheme="minorBidi"/>
              <w:bCs w:val="0"/>
              <w:noProof/>
              <w:sz w:val="22"/>
              <w:szCs w:val="22"/>
            </w:rPr>
          </w:pPr>
          <w:hyperlink w:anchor="_Toc31377130" w:history="1">
            <w:r w:rsidR="00E460E9" w:rsidRPr="00D72C5E">
              <w:rPr>
                <w:rStyle w:val="Hyperlink"/>
                <w:noProof/>
              </w:rPr>
              <w:t>Appendix F: The TPS Information Model</w:t>
            </w:r>
            <w:r w:rsidR="00E460E9">
              <w:rPr>
                <w:noProof/>
                <w:webHidden/>
              </w:rPr>
              <w:tab/>
            </w:r>
            <w:r w:rsidR="00E460E9">
              <w:rPr>
                <w:noProof/>
                <w:webHidden/>
              </w:rPr>
              <w:fldChar w:fldCharType="begin"/>
            </w:r>
            <w:r w:rsidR="00E460E9">
              <w:rPr>
                <w:noProof/>
                <w:webHidden/>
              </w:rPr>
              <w:instrText xml:space="preserve"> PAGEREF _Toc31377130 \h </w:instrText>
            </w:r>
            <w:r w:rsidR="00E460E9">
              <w:rPr>
                <w:noProof/>
                <w:webHidden/>
              </w:rPr>
            </w:r>
            <w:r w:rsidR="00E460E9">
              <w:rPr>
                <w:noProof/>
                <w:webHidden/>
              </w:rPr>
              <w:fldChar w:fldCharType="separate"/>
            </w:r>
            <w:r w:rsidR="00384587">
              <w:rPr>
                <w:noProof/>
                <w:webHidden/>
              </w:rPr>
              <w:t>40</w:t>
            </w:r>
            <w:r w:rsidR="00E460E9">
              <w:rPr>
                <w:noProof/>
                <w:webHidden/>
              </w:rPr>
              <w:fldChar w:fldCharType="end"/>
            </w:r>
          </w:hyperlink>
        </w:p>
        <w:p w14:paraId="3F55CFC9" w14:textId="0C4F19E0" w:rsidR="00E460E9" w:rsidRDefault="005F3930">
          <w:pPr>
            <w:pStyle w:val="TOC2"/>
            <w:rPr>
              <w:rFonts w:asciiTheme="minorHAnsi" w:eastAsiaTheme="minorEastAsia" w:hAnsiTheme="minorHAnsi" w:cstheme="minorBidi"/>
              <w:bCs w:val="0"/>
              <w:noProof/>
              <w:sz w:val="22"/>
              <w:szCs w:val="22"/>
            </w:rPr>
          </w:pPr>
          <w:hyperlink w:anchor="_Toc31377131" w:history="1">
            <w:r w:rsidR="00E460E9" w:rsidRPr="00D72C5E">
              <w:rPr>
                <w:rStyle w:val="Hyperlink"/>
                <w:noProof/>
              </w:rPr>
              <w:t>Appendix G: GPA Standard Annual Maintenance Services</w:t>
            </w:r>
            <w:r w:rsidR="00E460E9">
              <w:rPr>
                <w:noProof/>
                <w:webHidden/>
              </w:rPr>
              <w:tab/>
            </w:r>
            <w:r w:rsidR="00E460E9">
              <w:rPr>
                <w:noProof/>
                <w:webHidden/>
              </w:rPr>
              <w:fldChar w:fldCharType="begin"/>
            </w:r>
            <w:r w:rsidR="00E460E9">
              <w:rPr>
                <w:noProof/>
                <w:webHidden/>
              </w:rPr>
              <w:instrText xml:space="preserve"> PAGEREF _Toc31377131 \h </w:instrText>
            </w:r>
            <w:r w:rsidR="00E460E9">
              <w:rPr>
                <w:noProof/>
                <w:webHidden/>
              </w:rPr>
            </w:r>
            <w:r w:rsidR="00E460E9">
              <w:rPr>
                <w:noProof/>
                <w:webHidden/>
              </w:rPr>
              <w:fldChar w:fldCharType="separate"/>
            </w:r>
            <w:r w:rsidR="00384587">
              <w:rPr>
                <w:noProof/>
                <w:webHidden/>
              </w:rPr>
              <w:t>41</w:t>
            </w:r>
            <w:r w:rsidR="00E460E9">
              <w:rPr>
                <w:noProof/>
                <w:webHidden/>
              </w:rPr>
              <w:fldChar w:fldCharType="end"/>
            </w:r>
          </w:hyperlink>
        </w:p>
        <w:p w14:paraId="779789B8" w14:textId="5A11306E" w:rsidR="00A500AF" w:rsidRDefault="00F53FCC" w:rsidP="00E03900">
          <w:pPr>
            <w:tabs>
              <w:tab w:val="left" w:pos="540"/>
              <w:tab w:val="decimal" w:pos="6480"/>
              <w:tab w:val="decimal" w:pos="6570"/>
            </w:tabs>
            <w:outlineLvl w:val="2"/>
          </w:pPr>
          <w:r>
            <w:rPr>
              <w:rFonts w:ascii="Calibri" w:hAnsi="Calibri"/>
              <w:bCs/>
            </w:rPr>
            <w:fldChar w:fldCharType="end"/>
          </w:r>
        </w:p>
      </w:sdtContent>
    </w:sdt>
    <w:p w14:paraId="6AAA8FDD" w14:textId="2C5DF132" w:rsidR="00B77536" w:rsidRDefault="00B77536" w:rsidP="006D7782">
      <w:pPr>
        <w:tabs>
          <w:tab w:val="right" w:leader="dot" w:pos="3960"/>
          <w:tab w:val="right" w:leader="dot" w:pos="4320"/>
          <w:tab w:val="right" w:leader="dot" w:pos="7200"/>
        </w:tabs>
        <w:ind w:left="1170"/>
      </w:pPr>
    </w:p>
    <w:p w14:paraId="2AFAD1D3" w14:textId="15B54942" w:rsidR="00B77536" w:rsidRDefault="00B77536" w:rsidP="006D7782">
      <w:pPr>
        <w:tabs>
          <w:tab w:val="right" w:leader="dot" w:pos="3960"/>
          <w:tab w:val="right" w:leader="dot" w:pos="4320"/>
          <w:tab w:val="right" w:leader="dot" w:pos="7200"/>
        </w:tabs>
        <w:ind w:left="1170"/>
      </w:pPr>
    </w:p>
    <w:p w14:paraId="66C82D02" w14:textId="2873A33C" w:rsidR="006C373F" w:rsidRDefault="006C373F" w:rsidP="006D7782">
      <w:pPr>
        <w:tabs>
          <w:tab w:val="right" w:leader="dot" w:pos="3960"/>
          <w:tab w:val="right" w:leader="dot" w:pos="4320"/>
          <w:tab w:val="right" w:leader="dot" w:pos="7200"/>
        </w:tabs>
        <w:ind w:left="1170"/>
      </w:pPr>
    </w:p>
    <w:p w14:paraId="6ACDA6AD" w14:textId="213736C3" w:rsidR="006C373F" w:rsidRPr="009943B7" w:rsidRDefault="006C373F" w:rsidP="009275EA">
      <w:pPr>
        <w:pStyle w:val="Bodyboxed"/>
        <w:ind w:left="180" w:right="630"/>
      </w:pPr>
      <w:r w:rsidRPr="009943B7">
        <w:br/>
        <w:t>Attachment 1</w:t>
      </w:r>
      <w:r>
        <w:t>3</w:t>
      </w:r>
      <w:r w:rsidRPr="009943B7">
        <w:t xml:space="preserve">, </w:t>
      </w:r>
      <w:r w:rsidRPr="009943B7">
        <w:rPr>
          <w:b/>
          <w:bCs/>
        </w:rPr>
        <w:t xml:space="preserve">The GPA Proposal </w:t>
      </w:r>
      <w:r>
        <w:rPr>
          <w:b/>
          <w:bCs/>
        </w:rPr>
        <w:t>Overview</w:t>
      </w:r>
      <w:r w:rsidRPr="009943B7">
        <w:t xml:space="preserve">, is a power-point-based summary </w:t>
      </w:r>
      <w:r w:rsidR="009275EA">
        <w:t xml:space="preserve">of </w:t>
      </w:r>
      <w:r w:rsidRPr="009943B7">
        <w:t>GPA’s</w:t>
      </w:r>
      <w:r>
        <w:t xml:space="preserve"> proposed</w:t>
      </w:r>
      <w:r w:rsidRPr="009943B7">
        <w:t xml:space="preserve"> solution.</w:t>
      </w:r>
      <w:r w:rsidRPr="009943B7">
        <w:br/>
      </w:r>
    </w:p>
    <w:p w14:paraId="7749F1C9" w14:textId="77777777" w:rsidR="006C373F" w:rsidRDefault="006C373F" w:rsidP="006D7782">
      <w:pPr>
        <w:tabs>
          <w:tab w:val="right" w:leader="dot" w:pos="3960"/>
          <w:tab w:val="right" w:leader="dot" w:pos="4320"/>
          <w:tab w:val="right" w:leader="dot" w:pos="7200"/>
        </w:tabs>
        <w:ind w:left="1170"/>
      </w:pPr>
    </w:p>
    <w:p w14:paraId="3707FCA3" w14:textId="0D066A5D" w:rsidR="00786B6B" w:rsidRDefault="00786B6B" w:rsidP="006D7782">
      <w:pPr>
        <w:tabs>
          <w:tab w:val="right" w:leader="dot" w:pos="3960"/>
          <w:tab w:val="right" w:leader="dot" w:pos="4320"/>
          <w:tab w:val="right" w:leader="dot" w:pos="7200"/>
        </w:tabs>
        <w:ind w:left="1170"/>
      </w:pPr>
    </w:p>
    <w:p w14:paraId="0084751B" w14:textId="77777777" w:rsidR="00B932E5" w:rsidRDefault="00B932E5" w:rsidP="006D7782">
      <w:pPr>
        <w:tabs>
          <w:tab w:val="right" w:leader="dot" w:pos="3960"/>
          <w:tab w:val="right" w:leader="dot" w:pos="4320"/>
          <w:tab w:val="right" w:leader="dot" w:pos="7200"/>
        </w:tabs>
        <w:ind w:left="1170"/>
        <w:sectPr w:rsidR="00B932E5" w:rsidSect="00E03900">
          <w:headerReference w:type="first" r:id="rId36"/>
          <w:footerReference w:type="first" r:id="rId37"/>
          <w:pgSz w:w="12240" w:h="15840"/>
          <w:pgMar w:top="1980" w:right="3330" w:bottom="1260" w:left="2430" w:header="288" w:footer="288" w:gutter="0"/>
          <w:pgBorders w:offsetFrom="page">
            <w:top w:val="single" w:sz="8" w:space="24" w:color="595959" w:themeColor="text1" w:themeTint="A6"/>
            <w:left w:val="single" w:sz="8" w:space="24" w:color="595959" w:themeColor="text1" w:themeTint="A6"/>
            <w:bottom w:val="single" w:sz="8" w:space="24" w:color="595959" w:themeColor="text1" w:themeTint="A6"/>
            <w:right w:val="single" w:sz="8" w:space="24" w:color="595959" w:themeColor="text1" w:themeTint="A6"/>
          </w:pgBorders>
          <w:pgNumType w:fmt="lowerRoman" w:start="1"/>
          <w:cols w:space="720"/>
          <w:titlePg/>
          <w:docGrid w:linePitch="360"/>
        </w:sectPr>
      </w:pPr>
    </w:p>
    <w:p w14:paraId="67B04383" w14:textId="2626F618" w:rsidR="000373CB" w:rsidRDefault="00286BBA" w:rsidP="006D6152">
      <w:pPr>
        <w:pStyle w:val="Heading1"/>
      </w:pPr>
      <w:bookmarkStart w:id="7" w:name="_Toc31377108"/>
      <w:bookmarkStart w:id="8" w:name="_Toc287274748"/>
      <w:bookmarkStart w:id="9" w:name="_Toc375125927"/>
      <w:bookmarkStart w:id="10" w:name="_Toc490482063"/>
      <w:r w:rsidRPr="006D6152">
        <w:lastRenderedPageBreak/>
        <w:t>Executive</w:t>
      </w:r>
      <w:r>
        <w:t xml:space="preserve"> </w:t>
      </w:r>
      <w:r w:rsidRPr="004A5C14">
        <w:t>Summary</w:t>
      </w:r>
      <w:r w:rsidR="0061306E">
        <w:t xml:space="preserve"> and </w:t>
      </w:r>
      <w:r w:rsidR="00AF7A11">
        <w:t>Overview</w:t>
      </w:r>
      <w:bookmarkEnd w:id="7"/>
    </w:p>
    <w:p w14:paraId="7425C8BC" w14:textId="007169A1" w:rsidR="00AF7A11" w:rsidRDefault="00AF7A11" w:rsidP="00E30DE8">
      <w:pPr>
        <w:pStyle w:val="Heading3"/>
      </w:pPr>
      <w:bookmarkStart w:id="11" w:name="_Toc31377109"/>
      <w:r>
        <w:t>Executive Summary</w:t>
      </w:r>
      <w:bookmarkEnd w:id="11"/>
    </w:p>
    <w:p w14:paraId="0961F097" w14:textId="345E9BDE" w:rsidR="003840C4" w:rsidRDefault="003840C4" w:rsidP="003840C4">
      <w:pPr>
        <w:pStyle w:val="Body"/>
        <w:spacing w:line="240" w:lineRule="atLeast"/>
      </w:pPr>
      <w:r>
        <w:t>Th</w:t>
      </w:r>
      <w:r w:rsidR="00F93AC2">
        <w:t>is</w:t>
      </w:r>
      <w:r>
        <w:t xml:space="preserve"> proposal </w:t>
      </w:r>
      <w:r w:rsidR="00A51C23">
        <w:t>from the Grid Protection Alliance</w:t>
      </w:r>
      <w:r w:rsidR="00153F25">
        <w:t>, Inc.</w:t>
      </w:r>
      <w:r w:rsidR="00A51C23">
        <w:t xml:space="preserve"> (GPA) </w:t>
      </w:r>
      <w:r w:rsidR="00CB58EE">
        <w:t>meets</w:t>
      </w:r>
      <w:r w:rsidR="00BF2F3C">
        <w:t xml:space="preserve"> TVA’s</w:t>
      </w:r>
      <w:r w:rsidR="00793E77">
        <w:t xml:space="preserve"> </w:t>
      </w:r>
      <w:r>
        <w:t xml:space="preserve">technical </w:t>
      </w:r>
      <w:r w:rsidR="008F4880">
        <w:t xml:space="preserve">and business </w:t>
      </w:r>
      <w:r w:rsidR="003D432B">
        <w:t>requirements for</w:t>
      </w:r>
      <w:r w:rsidR="005A443A">
        <w:t xml:space="preserve"> </w:t>
      </w:r>
      <w:r w:rsidR="00BA36B9">
        <w:t xml:space="preserve">the </w:t>
      </w:r>
      <w:r w:rsidR="005A443A">
        <w:t>Transmission Asset Data Aggregation</w:t>
      </w:r>
      <w:r>
        <w:t xml:space="preserve"> </w:t>
      </w:r>
      <w:r w:rsidR="00BA36B9">
        <w:t>portion o</w:t>
      </w:r>
      <w:r w:rsidR="0090485A">
        <w:t xml:space="preserve">f this RFP </w:t>
      </w:r>
      <w:r>
        <w:t xml:space="preserve">while minimizing </w:t>
      </w:r>
      <w:r w:rsidR="00B320A7">
        <w:t>first</w:t>
      </w:r>
      <w:r>
        <w:t xml:space="preserve"> and on-going costs.  In doing so, GPA is also providing a highly-performant and flexible </w:t>
      </w:r>
      <w:r w:rsidR="00296009">
        <w:t xml:space="preserve">information systems </w:t>
      </w:r>
      <w:r>
        <w:t>foundation to allow</w:t>
      </w:r>
      <w:r w:rsidR="009A1F49">
        <w:t xml:space="preserve"> </w:t>
      </w:r>
      <w:r w:rsidR="00BF2F3C">
        <w:t>TPS&amp;S</w:t>
      </w:r>
      <w:r>
        <w:t xml:space="preserve"> to easily incorporate new </w:t>
      </w:r>
      <w:r w:rsidR="00110F9C">
        <w:t>tools</w:t>
      </w:r>
      <w:r>
        <w:t xml:space="preserve"> and </w:t>
      </w:r>
      <w:r w:rsidR="00110F9C">
        <w:t xml:space="preserve">software </w:t>
      </w:r>
      <w:r>
        <w:t xml:space="preserve">components as well as to adapt the </w:t>
      </w:r>
      <w:r w:rsidR="009F6715">
        <w:t xml:space="preserve">Transmission </w:t>
      </w:r>
      <w:r w:rsidR="009A1F49">
        <w:t>Asset Performance Center</w:t>
      </w:r>
      <w:r>
        <w:t xml:space="preserve"> to meet changing business requirements without lock-in to GPA or any other vendor.</w:t>
      </w:r>
    </w:p>
    <w:p w14:paraId="27211546" w14:textId="5C0C3FEA" w:rsidR="00DA4E74" w:rsidRDefault="00AA0C83" w:rsidP="0061306E">
      <w:pPr>
        <w:pStyle w:val="Body"/>
      </w:pPr>
      <w:r>
        <w:t>T</w:t>
      </w:r>
      <w:r w:rsidR="001204D7">
        <w:t xml:space="preserve">he GPA solution </w:t>
      </w:r>
      <w:r w:rsidR="000D6199">
        <w:t xml:space="preserve">links and </w:t>
      </w:r>
      <w:r w:rsidR="00D84578">
        <w:t>provides</w:t>
      </w:r>
      <w:r w:rsidR="001204D7">
        <w:t xml:space="preserve"> information from eDNA</w:t>
      </w:r>
      <w:r w:rsidR="006F27C0">
        <w:t xml:space="preserve"> and Maximo and the other require</w:t>
      </w:r>
      <w:r w:rsidR="006947F1">
        <w:t xml:space="preserve">d sources of </w:t>
      </w:r>
      <w:r w:rsidR="002965DE">
        <w:t xml:space="preserve">asset condition </w:t>
      </w:r>
      <w:r w:rsidR="006947F1">
        <w:t xml:space="preserve">data </w:t>
      </w:r>
      <w:r w:rsidR="008B74F4">
        <w:t xml:space="preserve">and makes this data </w:t>
      </w:r>
      <w:r w:rsidR="001204D7">
        <w:t xml:space="preserve">available to analytics </w:t>
      </w:r>
      <w:r w:rsidR="00DE6C87">
        <w:t xml:space="preserve">through one of multiple </w:t>
      </w:r>
      <w:r w:rsidR="001204D7">
        <w:t>interface option</w:t>
      </w:r>
      <w:r w:rsidR="000D6199">
        <w:t>s</w:t>
      </w:r>
      <w:r w:rsidR="00CF021D">
        <w:t>.  Th</w:t>
      </w:r>
      <w:r w:rsidR="0082496F">
        <w:t xml:space="preserve">is </w:t>
      </w:r>
      <w:r w:rsidR="00CF021D">
        <w:t xml:space="preserve">proposed </w:t>
      </w:r>
      <w:r w:rsidR="00EE38BE">
        <w:t xml:space="preserve">data </w:t>
      </w:r>
      <w:r w:rsidR="000D6199">
        <w:t xml:space="preserve">aggregation </w:t>
      </w:r>
      <w:r w:rsidR="003319A7">
        <w:t>approach</w:t>
      </w:r>
      <w:r w:rsidR="000D6199">
        <w:t xml:space="preserve"> </w:t>
      </w:r>
      <w:r w:rsidR="00954B5C">
        <w:t>allows</w:t>
      </w:r>
      <w:r w:rsidR="00630391">
        <w:t xml:space="preserve"> TVA to select</w:t>
      </w:r>
      <w:r w:rsidR="00954B5C">
        <w:t xml:space="preserve"> </w:t>
      </w:r>
      <w:r w:rsidR="00E2679B">
        <w:t>a</w:t>
      </w:r>
      <w:r w:rsidR="00910FE1">
        <w:t>mong the</w:t>
      </w:r>
      <w:r w:rsidR="00243245">
        <w:t xml:space="preserve"> </w:t>
      </w:r>
      <w:r w:rsidR="00910FE1">
        <w:t>multiple</w:t>
      </w:r>
      <w:r w:rsidR="00CF021D">
        <w:t xml:space="preserve"> </w:t>
      </w:r>
      <w:r w:rsidR="00243245">
        <w:t xml:space="preserve">GPA </w:t>
      </w:r>
      <w:r w:rsidR="00CF021D">
        <w:t>data</w:t>
      </w:r>
      <w:r w:rsidR="00910FE1">
        <w:t xml:space="preserve"> interface options</w:t>
      </w:r>
      <w:r w:rsidR="008E150D">
        <w:t>,</w:t>
      </w:r>
      <w:r w:rsidR="00910FE1">
        <w:t xml:space="preserve"> </w:t>
      </w:r>
      <w:r w:rsidR="00AA2E56">
        <w:t>such</w:t>
      </w:r>
      <w:r w:rsidR="00CF021D">
        <w:t xml:space="preserve"> that</w:t>
      </w:r>
      <w:r w:rsidR="008E150D">
        <w:t>,</w:t>
      </w:r>
      <w:r w:rsidR="00CF021D">
        <w:t xml:space="preserve"> the</w:t>
      </w:r>
      <w:r w:rsidR="00166469">
        <w:t xml:space="preserve"> best solution</w:t>
      </w:r>
      <w:r w:rsidR="00CF021D">
        <w:t xml:space="preserve"> can be selected for each </w:t>
      </w:r>
      <w:r w:rsidR="008E150D">
        <w:t>analytic</w:t>
      </w:r>
      <w:r w:rsidR="00166469">
        <w:t xml:space="preserve"> </w:t>
      </w:r>
      <w:r w:rsidR="008E150D">
        <w:t>which</w:t>
      </w:r>
      <w:r w:rsidR="00E2679B">
        <w:t xml:space="preserve"> assures </w:t>
      </w:r>
      <w:r w:rsidR="00A3036C">
        <w:t>th</w:t>
      </w:r>
      <w:r w:rsidR="0092285B">
        <w:t>at</w:t>
      </w:r>
      <w:r w:rsidR="00A3036C">
        <w:t xml:space="preserve"> requirements are met at</w:t>
      </w:r>
      <w:r w:rsidR="00BB168F">
        <w:t xml:space="preserve"> </w:t>
      </w:r>
      <w:r w:rsidR="00004280">
        <w:t>minim</w:t>
      </w:r>
      <w:r w:rsidR="00A3036C">
        <w:t>um</w:t>
      </w:r>
      <w:r w:rsidR="00166469">
        <w:t xml:space="preserve"> total cost.</w:t>
      </w:r>
      <w:r w:rsidR="001204D7">
        <w:t xml:space="preserve">  As these analytics (some vendor provided</w:t>
      </w:r>
      <w:r w:rsidR="008C40B9">
        <w:t xml:space="preserve"> and</w:t>
      </w:r>
      <w:r w:rsidR="001204D7">
        <w:t xml:space="preserve"> some TVA developed) produce results, </w:t>
      </w:r>
      <w:r w:rsidR="00C03856">
        <w:t>the GPA solution</w:t>
      </w:r>
      <w:r w:rsidR="007C4BBA">
        <w:t xml:space="preserve"> also</w:t>
      </w:r>
      <w:r w:rsidR="00C03856">
        <w:t xml:space="preserve"> </w:t>
      </w:r>
      <w:r w:rsidR="00E02991">
        <w:t>implements</w:t>
      </w:r>
      <w:r w:rsidR="005A005A">
        <w:t xml:space="preserve"> </w:t>
      </w:r>
      <w:r w:rsidR="006B0BCB">
        <w:t xml:space="preserve">the necessary structure for </w:t>
      </w:r>
      <w:r w:rsidR="008955ED">
        <w:t xml:space="preserve">housing </w:t>
      </w:r>
      <w:r w:rsidR="001204D7">
        <w:t>these results so that they can be used by downstream systems such as copperleaf and display systems</w:t>
      </w:r>
      <w:r w:rsidR="00CB2231">
        <w:t xml:space="preserve"> </w:t>
      </w:r>
      <w:r w:rsidR="00BB5FD6">
        <w:t xml:space="preserve">in the </w:t>
      </w:r>
      <w:r w:rsidR="002E38E5">
        <w:t xml:space="preserve">Transmission </w:t>
      </w:r>
      <w:r w:rsidR="00BB5FD6">
        <w:t>Asset Performance Center</w:t>
      </w:r>
      <w:r w:rsidR="001204D7">
        <w:t>.</w:t>
      </w:r>
      <w:r w:rsidR="00C45AB2">
        <w:t xml:space="preserve">  </w:t>
      </w:r>
      <w:r w:rsidR="00D90BE0">
        <w:t>In addition</w:t>
      </w:r>
      <w:r w:rsidR="008E150D">
        <w:t>,</w:t>
      </w:r>
      <w:r w:rsidR="00D90BE0">
        <w:t xml:space="preserve"> a</w:t>
      </w:r>
      <w:r>
        <w:t xml:space="preserve">s seen in Figure 1, </w:t>
      </w:r>
      <w:r w:rsidR="006070D7">
        <w:t>the</w:t>
      </w:r>
      <w:r w:rsidR="00D90BE0">
        <w:t xml:space="preserve"> GPA</w:t>
      </w:r>
      <w:r w:rsidR="006070D7">
        <w:t xml:space="preserve"> solution includes automat</w:t>
      </w:r>
      <w:r w:rsidR="00E53EFD">
        <w:t xml:space="preserve">ion for notifications and data validation </w:t>
      </w:r>
      <w:r w:rsidR="00A11F05">
        <w:t xml:space="preserve">as it retains the </w:t>
      </w:r>
      <w:r w:rsidR="00FA53D9">
        <w:t>ability</w:t>
      </w:r>
      <w:r w:rsidR="00A11F05">
        <w:t xml:space="preserve"> </w:t>
      </w:r>
      <w:r w:rsidR="00DE15A8">
        <w:t>to incorporate</w:t>
      </w:r>
      <w:r w:rsidR="00F76D34">
        <w:t xml:space="preserve"> </w:t>
      </w:r>
      <w:r w:rsidR="00F85023">
        <w:t>results from ad-hoc investigations and studies by transmission asset subject matter experts.</w:t>
      </w:r>
    </w:p>
    <w:p w14:paraId="2FBCD657" w14:textId="25FACD58" w:rsidR="0061306E" w:rsidRDefault="00526677" w:rsidP="00103B9D">
      <w:pPr>
        <w:pStyle w:val="figure"/>
      </w:pPr>
      <w:r>
        <w:drawing>
          <wp:inline distT="0" distB="0" distL="0" distR="0" wp14:anchorId="2215619A" wp14:editId="77A171EA">
            <wp:extent cx="4738372" cy="275237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1500" cy="2760002"/>
                    </a:xfrm>
                    <a:prstGeom prst="rect">
                      <a:avLst/>
                    </a:prstGeom>
                    <a:noFill/>
                    <a:ln>
                      <a:noFill/>
                    </a:ln>
                  </pic:spPr>
                </pic:pic>
              </a:graphicData>
            </a:graphic>
          </wp:inline>
        </w:drawing>
      </w:r>
    </w:p>
    <w:p w14:paraId="67B45C82" w14:textId="5C16A5D4" w:rsidR="00DA381B" w:rsidRDefault="00DA381B" w:rsidP="00DA381B">
      <w:pPr>
        <w:pStyle w:val="FigureDesc"/>
      </w:pPr>
      <w:r>
        <w:t xml:space="preserve">Figure 1.  </w:t>
      </w:r>
      <w:r w:rsidR="001204D7">
        <w:t xml:space="preserve">The GPA </w:t>
      </w:r>
      <w:r>
        <w:t>Asset Performance Center (APC)</w:t>
      </w:r>
      <w:r w:rsidR="001204D7">
        <w:t xml:space="preserve"> Solution</w:t>
      </w:r>
      <w:r w:rsidR="00884C4C">
        <w:br/>
      </w:r>
    </w:p>
    <w:p w14:paraId="1F669323" w14:textId="63465152" w:rsidR="00DA381B" w:rsidRDefault="004F6E00" w:rsidP="003952D0">
      <w:pPr>
        <w:pStyle w:val="Body"/>
      </w:pPr>
      <w:r>
        <w:t>GPA has a</w:t>
      </w:r>
      <w:r w:rsidR="00D544F5">
        <w:t xml:space="preserve"> strong project management model, </w:t>
      </w:r>
      <w:r w:rsidR="009A45CF">
        <w:t>incorporates the</w:t>
      </w:r>
      <w:r w:rsidR="00F258C4">
        <w:t xml:space="preserve"> latest technology and tools</w:t>
      </w:r>
      <w:r w:rsidR="009A45CF">
        <w:t xml:space="preserve"> in its solution</w:t>
      </w:r>
      <w:r w:rsidR="00C57124">
        <w:t>s</w:t>
      </w:r>
      <w:r w:rsidR="00F258C4">
        <w:t xml:space="preserve"> </w:t>
      </w:r>
      <w:r w:rsidR="009A45CF">
        <w:t>and has a</w:t>
      </w:r>
      <w:r w:rsidR="00F258C4">
        <w:t xml:space="preserve"> </w:t>
      </w:r>
      <w:r w:rsidR="00C759C5">
        <w:t xml:space="preserve">dedicated team </w:t>
      </w:r>
      <w:r w:rsidR="0079233C">
        <w:t xml:space="preserve">with a deep understanding of TVA systems </w:t>
      </w:r>
      <w:r w:rsidR="00635F71">
        <w:t>and</w:t>
      </w:r>
      <w:r w:rsidR="00F258C4">
        <w:t xml:space="preserve"> the prov</w:t>
      </w:r>
      <w:r w:rsidR="000249C7">
        <w:t xml:space="preserve">en ability </w:t>
      </w:r>
      <w:r w:rsidR="005162CF">
        <w:t>to</w:t>
      </w:r>
      <w:r w:rsidR="0008421F">
        <w:t xml:space="preserve"> collaborate with TVA staff to </w:t>
      </w:r>
      <w:r w:rsidR="00F1140F">
        <w:t>implement solut</w:t>
      </w:r>
      <w:r w:rsidR="00B25F21">
        <w:t>ions that are in the best long-term interest of TVA.</w:t>
      </w:r>
      <w:r w:rsidR="00D66D4D">
        <w:t xml:space="preserve">  GPA </w:t>
      </w:r>
      <w:r w:rsidR="00D75B82">
        <w:t xml:space="preserve">can meet the </w:t>
      </w:r>
      <w:r w:rsidR="00447181">
        <w:t>Minimum Viable Product installation mileston</w:t>
      </w:r>
      <w:bookmarkStart w:id="12" w:name="_GoBack"/>
      <w:bookmarkEnd w:id="12"/>
      <w:r w:rsidR="00447181">
        <w:t>e of Octo</w:t>
      </w:r>
      <w:r w:rsidR="000B7DD9">
        <w:t>ber 1, 2020, and we are</w:t>
      </w:r>
      <w:r w:rsidR="00D66D4D">
        <w:t xml:space="preserve"> looking forward to working with TVA on this project.</w:t>
      </w:r>
    </w:p>
    <w:p w14:paraId="5A90630D" w14:textId="731BA921" w:rsidR="0061306E" w:rsidRPr="0061306E" w:rsidRDefault="00AF7A11" w:rsidP="00E30DE8">
      <w:pPr>
        <w:pStyle w:val="Heading3"/>
      </w:pPr>
      <w:bookmarkStart w:id="13" w:name="_Toc31377110"/>
      <w:r>
        <w:lastRenderedPageBreak/>
        <w:t>Proposal Overview</w:t>
      </w:r>
      <w:bookmarkEnd w:id="13"/>
    </w:p>
    <w:p w14:paraId="17FB25D9" w14:textId="34F80CAD" w:rsidR="002A5280" w:rsidRDefault="002A5280" w:rsidP="002A5280">
      <w:pPr>
        <w:pStyle w:val="Body"/>
      </w:pPr>
      <w:r w:rsidRPr="000373CB">
        <w:t xml:space="preserve">The Grid Protection Alliance is pleased to provide this response to </w:t>
      </w:r>
      <w:r>
        <w:t>TVA Soli</w:t>
      </w:r>
      <w:r w:rsidR="00D774D2">
        <w:t>citation 9941</w:t>
      </w:r>
      <w:r w:rsidR="00715DA9">
        <w:t>9</w:t>
      </w:r>
      <w:r w:rsidR="00426DB5">
        <w:t>. GPA is providing this technical proposal and quote for</w:t>
      </w:r>
      <w:r w:rsidR="00715333">
        <w:t xml:space="preserve"> </w:t>
      </w:r>
      <w:r w:rsidR="00426DB5">
        <w:t xml:space="preserve">the </w:t>
      </w:r>
      <w:r w:rsidR="00715333">
        <w:t>“Asset Data Aggregation”</w:t>
      </w:r>
      <w:r w:rsidR="00426DB5">
        <w:t xml:space="preserve"> portion of the </w:t>
      </w:r>
      <w:r w:rsidR="00DD53F0">
        <w:t>RFP</w:t>
      </w:r>
      <w:r w:rsidR="00D92A06">
        <w:t xml:space="preserve"> only</w:t>
      </w:r>
      <w:r w:rsidR="00DD53F0">
        <w:t>.</w:t>
      </w:r>
      <w:r w:rsidR="00E208CC">
        <w:t xml:space="preserve">  </w:t>
      </w:r>
      <w:r w:rsidR="007F67DB">
        <w:t xml:space="preserve">GPA understands and values </w:t>
      </w:r>
      <w:r w:rsidR="003E4EEA">
        <w:t xml:space="preserve">TVA’s desired approach </w:t>
      </w:r>
      <w:r w:rsidR="00EB5AF2">
        <w:t>for a</w:t>
      </w:r>
      <w:r w:rsidR="003E4EEA">
        <w:t xml:space="preserve"> </w:t>
      </w:r>
      <w:r w:rsidR="003E2436">
        <w:t>transmission asset management</w:t>
      </w:r>
      <w:r w:rsidR="00EB5AF2">
        <w:t xml:space="preserve"> </w:t>
      </w:r>
      <w:r w:rsidR="0081337F">
        <w:t>solution</w:t>
      </w:r>
      <w:r w:rsidR="00913C29">
        <w:t xml:space="preserve"> that </w:t>
      </w:r>
      <w:r w:rsidR="007B40F8">
        <w:t xml:space="preserve">can flexibly support “best in class” </w:t>
      </w:r>
      <w:r w:rsidR="002F1871">
        <w:t xml:space="preserve">maintenance models </w:t>
      </w:r>
      <w:r w:rsidR="00EB5AF2">
        <w:t xml:space="preserve">as these are developed by </w:t>
      </w:r>
      <w:r w:rsidR="006F5F5F">
        <w:t>v</w:t>
      </w:r>
      <w:r w:rsidR="00202224">
        <w:t xml:space="preserve">endors, </w:t>
      </w:r>
      <w:r w:rsidR="00EB5AF2">
        <w:t>TVA, TVA</w:t>
      </w:r>
      <w:r w:rsidR="001E1938">
        <w:t>’s</w:t>
      </w:r>
      <w:r w:rsidR="00EB5AF2">
        <w:t xml:space="preserve"> utility colleagues</w:t>
      </w:r>
      <w:r w:rsidR="001E1938">
        <w:t xml:space="preserve"> </w:t>
      </w:r>
      <w:r w:rsidR="00202224">
        <w:t xml:space="preserve">and </w:t>
      </w:r>
      <w:r w:rsidR="001E1938">
        <w:t xml:space="preserve">the </w:t>
      </w:r>
      <w:r w:rsidR="00202224">
        <w:t xml:space="preserve">utility </w:t>
      </w:r>
      <w:r w:rsidR="001E1938">
        <w:t>research community</w:t>
      </w:r>
      <w:r w:rsidR="006207F9">
        <w:t>.</w:t>
      </w:r>
      <w:r w:rsidR="00826844">
        <w:t xml:space="preserve">  </w:t>
      </w:r>
    </w:p>
    <w:p w14:paraId="7672376E" w14:textId="77777777" w:rsidR="00641ADF" w:rsidRPr="000373CB" w:rsidRDefault="00641ADF" w:rsidP="00641ADF">
      <w:pPr>
        <w:pStyle w:val="Body"/>
      </w:pPr>
      <w:r w:rsidRPr="000373CB">
        <w:t>Th</w:t>
      </w:r>
      <w:r>
        <w:t>is</w:t>
      </w:r>
      <w:r w:rsidRPr="000373CB">
        <w:t xml:space="preserve"> proposal </w:t>
      </w:r>
      <w:r>
        <w:t>is centered around meeting TVA’s</w:t>
      </w:r>
      <w:r w:rsidRPr="000373CB">
        <w:t xml:space="preserve"> </w:t>
      </w:r>
      <w:r>
        <w:t xml:space="preserve">functional and </w:t>
      </w:r>
      <w:r w:rsidRPr="000373CB">
        <w:t>technical requirements</w:t>
      </w:r>
      <w:r>
        <w:t xml:space="preserve"> for “Asset Data Aggregation” as detailed in Attachment 5 </w:t>
      </w:r>
      <w:r w:rsidRPr="000373CB">
        <w:t>while minimizing first and on-going costs</w:t>
      </w:r>
      <w:r>
        <w:t>. GPA is also</w:t>
      </w:r>
      <w:r w:rsidRPr="000373CB">
        <w:t xml:space="preserve"> providing</w:t>
      </w:r>
      <w:r>
        <w:t xml:space="preserve"> TVA </w:t>
      </w:r>
      <w:r w:rsidRPr="000373CB">
        <w:t xml:space="preserve">a highly-performant and flexible architectural foundation to allow </w:t>
      </w:r>
      <w:r>
        <w:t xml:space="preserve">TPS&amp;S </w:t>
      </w:r>
      <w:r w:rsidRPr="000373CB">
        <w:t xml:space="preserve">to easily incorporate new technology and components as well as to adapt the </w:t>
      </w:r>
      <w:r>
        <w:t xml:space="preserve">Transmission Asset Performance Center </w:t>
      </w:r>
      <w:r w:rsidRPr="000373CB">
        <w:t>to meet changing requirements.</w:t>
      </w:r>
    </w:p>
    <w:p w14:paraId="607C5510" w14:textId="29346C1B" w:rsidR="00B44C50" w:rsidRDefault="00B44C50" w:rsidP="00B44C50">
      <w:pPr>
        <w:pStyle w:val="Body"/>
        <w:rPr>
          <w:rFonts w:ascii="Times New Roman" w:hAnsi="Times New Roman"/>
          <w:sz w:val="24"/>
          <w:szCs w:val="24"/>
        </w:rPr>
      </w:pPr>
      <w:r w:rsidRPr="00A86D64">
        <w:rPr>
          <w:i/>
          <w:iCs/>
        </w:rPr>
        <w:t>The hard 80 percent done better for less.</w:t>
      </w:r>
      <w:r w:rsidR="00DE2AF9">
        <w:t xml:space="preserve"> </w:t>
      </w:r>
      <w:r>
        <w:t xml:space="preserve"> In this proposal</w:t>
      </w:r>
      <w:r w:rsidR="00C96BE5">
        <w:t>,</w:t>
      </w:r>
      <w:r>
        <w:t xml:space="preserve"> </w:t>
      </w:r>
      <w:r w:rsidR="005033E8">
        <w:t>GPA</w:t>
      </w:r>
      <w:r>
        <w:t xml:space="preserve"> provide</w:t>
      </w:r>
      <w:r w:rsidR="005033E8">
        <w:t>s</w:t>
      </w:r>
      <w:r>
        <w:t xml:space="preserve"> the details as to why and how </w:t>
      </w:r>
      <w:r w:rsidR="00D41D67">
        <w:t xml:space="preserve">the GPA </w:t>
      </w:r>
      <w:r>
        <w:t>approach</w:t>
      </w:r>
      <w:r w:rsidR="004D6F47">
        <w:t xml:space="preserve"> </w:t>
      </w:r>
      <w:r>
        <w:t>to</w:t>
      </w:r>
      <w:r w:rsidR="004D6F47">
        <w:t xml:space="preserve"> </w:t>
      </w:r>
      <w:r>
        <w:t>data</w:t>
      </w:r>
      <w:r w:rsidR="004D6F47">
        <w:t xml:space="preserve"> </w:t>
      </w:r>
      <w:r w:rsidR="005033E8">
        <w:t>aggregation</w:t>
      </w:r>
      <w:r w:rsidR="00DF55F2">
        <w:t>, i.e., the hard 80 percent,</w:t>
      </w:r>
      <w:r>
        <w:t xml:space="preserve"> is better than</w:t>
      </w:r>
      <w:r w:rsidR="00715333">
        <w:t xml:space="preserve"> </w:t>
      </w:r>
      <w:r>
        <w:t>other alternatives.</w:t>
      </w:r>
      <w:r w:rsidR="00DE2AF9">
        <w:t xml:space="preserve"> </w:t>
      </w:r>
      <w:r>
        <w:t xml:space="preserve"> We'll also show that</w:t>
      </w:r>
      <w:r w:rsidR="00DE2AF9">
        <w:t xml:space="preserve"> </w:t>
      </w:r>
      <w:r>
        <w:t xml:space="preserve">TVA </w:t>
      </w:r>
      <w:r w:rsidR="001216C2">
        <w:t xml:space="preserve">total </w:t>
      </w:r>
      <w:r>
        <w:t xml:space="preserve">costs </w:t>
      </w:r>
      <w:r w:rsidR="00D614AF">
        <w:t>should</w:t>
      </w:r>
      <w:r>
        <w:t xml:space="preserve"> be </w:t>
      </w:r>
      <w:r w:rsidR="001216C2">
        <w:t>lower</w:t>
      </w:r>
      <w:r>
        <w:t xml:space="preserve"> </w:t>
      </w:r>
      <w:r w:rsidR="005C3D70">
        <w:t>using this GPA</w:t>
      </w:r>
      <w:r w:rsidR="00177297">
        <w:t xml:space="preserve"> proposed solution.</w:t>
      </w:r>
    </w:p>
    <w:p w14:paraId="5A5BDBB9" w14:textId="34C32F74" w:rsidR="00A531F4" w:rsidRDefault="00790324" w:rsidP="00B44C50">
      <w:pPr>
        <w:pStyle w:val="Body"/>
      </w:pPr>
      <w:r>
        <w:t xml:space="preserve">GPA is not proposing to provide </w:t>
      </w:r>
      <w:r w:rsidR="00B87811">
        <w:t>“Condition Analytics Tools”</w:t>
      </w:r>
      <w:r>
        <w:t xml:space="preserve"> since GPA</w:t>
      </w:r>
      <w:r w:rsidR="00625CD5">
        <w:t xml:space="preserve"> has </w:t>
      </w:r>
      <w:r w:rsidR="00B44C50">
        <w:t xml:space="preserve">no </w:t>
      </w:r>
      <w:r w:rsidR="00B077B0">
        <w:t xml:space="preserve">fully </w:t>
      </w:r>
      <w:r w:rsidR="00B44C50">
        <w:t>vetted transmission maintenance</w:t>
      </w:r>
      <w:r w:rsidR="001D2A7D">
        <w:t xml:space="preserve"> </w:t>
      </w:r>
      <w:r w:rsidR="00670627">
        <w:t>or condition</w:t>
      </w:r>
      <w:r w:rsidR="00B077B0">
        <w:t xml:space="preserve"> assessment</w:t>
      </w:r>
      <w:r w:rsidR="00B44C50">
        <w:t xml:space="preserve"> analytics.</w:t>
      </w:r>
      <w:r w:rsidR="00DE2AF9">
        <w:t xml:space="preserve"> </w:t>
      </w:r>
      <w:r w:rsidR="00B44C50">
        <w:t xml:space="preserve"> Having said that</w:t>
      </w:r>
      <w:r w:rsidR="00A14BEF">
        <w:t>,</w:t>
      </w:r>
      <w:r w:rsidR="00FF5AA5">
        <w:t xml:space="preserve"> </w:t>
      </w:r>
      <w:r w:rsidR="00A62A8C">
        <w:t>once an</w:t>
      </w:r>
      <w:r w:rsidR="00BB2244">
        <w:t xml:space="preserve"> analytic</w:t>
      </w:r>
      <w:r w:rsidR="00A62A8C">
        <w:t xml:space="preserve"> approach or technique </w:t>
      </w:r>
      <w:r w:rsidR="00C621BB">
        <w:t xml:space="preserve">has been identified, </w:t>
      </w:r>
      <w:r w:rsidR="00A14BEF">
        <w:t xml:space="preserve">GPA </w:t>
      </w:r>
      <w:r w:rsidR="00A06A67">
        <w:t xml:space="preserve">considers </w:t>
      </w:r>
      <w:r w:rsidR="00A532B4">
        <w:t xml:space="preserve">implementation of </w:t>
      </w:r>
      <w:r w:rsidR="00BB2244">
        <w:t xml:space="preserve">these analytics </w:t>
      </w:r>
      <w:r w:rsidR="00AB3DF8">
        <w:t xml:space="preserve">to be </w:t>
      </w:r>
      <w:r w:rsidR="0074006B">
        <w:t xml:space="preserve">a trivial extension to </w:t>
      </w:r>
      <w:r w:rsidR="00F02102">
        <w:t xml:space="preserve">the hard part of </w:t>
      </w:r>
      <w:r w:rsidR="00AD19F5">
        <w:t xml:space="preserve">assembling and </w:t>
      </w:r>
      <w:r w:rsidR="00FA0F82">
        <w:t xml:space="preserve">assessing the quality of </w:t>
      </w:r>
      <w:r w:rsidR="00AA456F">
        <w:t xml:space="preserve">the </w:t>
      </w:r>
      <w:r w:rsidR="00FA0F82">
        <w:t>source data for a condition</w:t>
      </w:r>
      <w:r w:rsidR="001B2D8B">
        <w:t>-</w:t>
      </w:r>
      <w:r w:rsidR="00FA0F82">
        <w:t xml:space="preserve">based </w:t>
      </w:r>
      <w:r w:rsidR="00BB3D17">
        <w:t xml:space="preserve">maintenance </w:t>
      </w:r>
      <w:r w:rsidR="00FA0F82">
        <w:t>program.</w:t>
      </w:r>
      <w:r w:rsidR="001F5AFF">
        <w:t xml:space="preserve">  GPA has implemented these </w:t>
      </w:r>
      <w:r w:rsidR="00E071EB">
        <w:t xml:space="preserve">automated </w:t>
      </w:r>
      <w:r w:rsidR="000D68EA">
        <w:t xml:space="preserve">condition determination </w:t>
      </w:r>
      <w:r w:rsidR="00E071EB">
        <w:t xml:space="preserve">analytics and notification systems </w:t>
      </w:r>
      <w:r w:rsidR="00712DE0">
        <w:t xml:space="preserve">at TVA using </w:t>
      </w:r>
      <w:r w:rsidR="00CC34C1">
        <w:t xml:space="preserve">both </w:t>
      </w:r>
      <w:r w:rsidR="000A05B1">
        <w:t>synchro</w:t>
      </w:r>
      <w:r w:rsidR="00CC34C1">
        <w:t>phasor and digital fault recorder data.</w:t>
      </w:r>
      <w:r w:rsidR="00CF0D50">
        <w:t xml:space="preserve">  </w:t>
      </w:r>
      <w:r w:rsidR="00551B18">
        <w:t xml:space="preserve">In addition, GPA has </w:t>
      </w:r>
      <w:r w:rsidR="00386528">
        <w:t xml:space="preserve">researched and experimented with implementation </w:t>
      </w:r>
      <w:r w:rsidR="00BD538F">
        <w:t>of advanced statistical techniques</w:t>
      </w:r>
      <w:r w:rsidR="001C6E61">
        <w:t xml:space="preserve"> </w:t>
      </w:r>
      <w:r w:rsidR="00F65860">
        <w:t>such as machine learning</w:t>
      </w:r>
      <w:r w:rsidR="006D2E86">
        <w:t>,</w:t>
      </w:r>
      <w:r w:rsidR="00F65860">
        <w:t xml:space="preserve"> </w:t>
      </w:r>
      <w:r w:rsidR="001C6E61">
        <w:t xml:space="preserve">and </w:t>
      </w:r>
      <w:r w:rsidR="00F65860">
        <w:t>we are</w:t>
      </w:r>
      <w:r w:rsidR="00E41523">
        <w:t xml:space="preserve"> confident </w:t>
      </w:r>
      <w:r w:rsidR="00C66532">
        <w:t>in</w:t>
      </w:r>
      <w:r w:rsidR="006D2E86">
        <w:t xml:space="preserve"> GPA’s</w:t>
      </w:r>
      <w:r w:rsidR="00C66532">
        <w:t xml:space="preserve"> ability to </w:t>
      </w:r>
      <w:r w:rsidR="00052DD3">
        <w:t>implement advanced statistical techniques</w:t>
      </w:r>
      <w:r w:rsidR="00C8155C">
        <w:t xml:space="preserve"> </w:t>
      </w:r>
      <w:r w:rsidR="0000372F">
        <w:t xml:space="preserve">and </w:t>
      </w:r>
      <w:r w:rsidR="00880CE5">
        <w:t>data science</w:t>
      </w:r>
      <w:r w:rsidR="0000372F">
        <w:t xml:space="preserve"> models </w:t>
      </w:r>
      <w:r w:rsidR="005C7FE1">
        <w:t>as they</w:t>
      </w:r>
      <w:r w:rsidR="00232FC3">
        <w:t xml:space="preserve"> are determined to represent </w:t>
      </w:r>
      <w:r w:rsidR="000C1CB6">
        <w:t>a valid basis for a condition-based management program.</w:t>
      </w:r>
      <w:r w:rsidR="00524EEE">
        <w:t xml:space="preserve">  </w:t>
      </w:r>
      <w:r w:rsidR="00FA1092">
        <w:t>A</w:t>
      </w:r>
      <w:r w:rsidR="005133F1">
        <w:t>ppendix D,</w:t>
      </w:r>
      <w:r w:rsidR="00FA1092">
        <w:t xml:space="preserve"> </w:t>
      </w:r>
      <w:r w:rsidR="00357429">
        <w:t>The Need for</w:t>
      </w:r>
      <w:r w:rsidR="00FA1092">
        <w:t xml:space="preserve"> Sandboxed Analytics, </w:t>
      </w:r>
      <w:r w:rsidR="004C3199">
        <w:t>describes</w:t>
      </w:r>
      <w:r w:rsidR="00B479CD">
        <w:t xml:space="preserve"> a reliable and secure method for incorporating </w:t>
      </w:r>
      <w:r w:rsidR="00074D80">
        <w:t xml:space="preserve">new analytics </w:t>
      </w:r>
      <w:r w:rsidR="004A7B21">
        <w:t>into the</w:t>
      </w:r>
      <w:r w:rsidR="00AC3611">
        <w:t xml:space="preserve"> Transmission Asset Performance Cente</w:t>
      </w:r>
      <w:r w:rsidR="00F426F9">
        <w:t xml:space="preserve">r that </w:t>
      </w:r>
      <w:r w:rsidR="00F63386">
        <w:t xml:space="preserve">is </w:t>
      </w:r>
      <w:r w:rsidR="00F426F9">
        <w:t xml:space="preserve">already in </w:t>
      </w:r>
      <w:r w:rsidR="00F63386">
        <w:t>production use at TVA.</w:t>
      </w:r>
    </w:p>
    <w:p w14:paraId="7D3F3AC3" w14:textId="44A07016" w:rsidR="00CC5FB6" w:rsidRDefault="00A047B0" w:rsidP="005C32EB">
      <w:pPr>
        <w:pStyle w:val="Heading4"/>
      </w:pPr>
      <w:r>
        <w:t>General Architecture</w:t>
      </w:r>
    </w:p>
    <w:p w14:paraId="363BEEE5" w14:textId="66BF5D38" w:rsidR="004C2CA4" w:rsidRDefault="00FF74BD" w:rsidP="00D04106">
      <w:pPr>
        <w:pStyle w:val="Body"/>
      </w:pPr>
      <w:r>
        <w:t xml:space="preserve">While </w:t>
      </w:r>
      <w:r w:rsidR="00284C6F">
        <w:t>individual</w:t>
      </w:r>
      <w:r w:rsidR="00ED1FEF">
        <w:t xml:space="preserve"> </w:t>
      </w:r>
      <w:r w:rsidR="00632560">
        <w:t>data source</w:t>
      </w:r>
      <w:r w:rsidR="00DA1528">
        <w:t xml:space="preserve">s </w:t>
      </w:r>
      <w:r w:rsidR="00284C6F">
        <w:t>will vary</w:t>
      </w:r>
      <w:r w:rsidR="00ED32E1">
        <w:t xml:space="preserve"> by asset </w:t>
      </w:r>
      <w:r w:rsidR="004379F0">
        <w:t>and an</w:t>
      </w:r>
      <w:r w:rsidR="00566A97">
        <w:t xml:space="preserve">alytics </w:t>
      </w:r>
      <w:r w:rsidR="00ED32E1">
        <w:t>type</w:t>
      </w:r>
      <w:r w:rsidR="00284C6F">
        <w:t>, th</w:t>
      </w:r>
      <w:r w:rsidR="004019A4">
        <w:t>e</w:t>
      </w:r>
      <w:r w:rsidR="005571E8">
        <w:t xml:space="preserve"> </w:t>
      </w:r>
      <w:r w:rsidR="00AB2AFF">
        <w:t xml:space="preserve">GPA </w:t>
      </w:r>
      <w:r w:rsidR="006A3C1D">
        <w:t xml:space="preserve">generalized </w:t>
      </w:r>
      <w:r w:rsidR="003B53CA">
        <w:t>architecture</w:t>
      </w:r>
      <w:r w:rsidR="002D4DB6">
        <w:t xml:space="preserve"> </w:t>
      </w:r>
      <w:r w:rsidR="00F93546">
        <w:t>include</w:t>
      </w:r>
      <w:r w:rsidR="00EA4141">
        <w:t>s</w:t>
      </w:r>
      <w:r w:rsidR="00284C6F">
        <w:t xml:space="preserve"> </w:t>
      </w:r>
      <w:r w:rsidR="004B12B4">
        <w:t>five</w:t>
      </w:r>
      <w:r w:rsidR="00B6611A">
        <w:t xml:space="preserve"> </w:t>
      </w:r>
      <w:r w:rsidR="002D4DB6">
        <w:t xml:space="preserve">major </w:t>
      </w:r>
      <w:r w:rsidR="00B6611A">
        <w:t>components</w:t>
      </w:r>
      <w:r w:rsidR="004F3492">
        <w:t xml:space="preserve"> that align with</w:t>
      </w:r>
      <w:r w:rsidR="00FE43B7">
        <w:t xml:space="preserve"> the</w:t>
      </w:r>
      <w:r w:rsidR="004F3492">
        <w:t xml:space="preserve"> solicitation functionality requirements</w:t>
      </w:r>
      <w:r w:rsidR="00566A97">
        <w:t xml:space="preserve">.  As shown in Figure 2, these are </w:t>
      </w:r>
      <w:r w:rsidR="00D14D67">
        <w:t>Source</w:t>
      </w:r>
      <w:r w:rsidR="00B6611A">
        <w:t xml:space="preserve"> Data, </w:t>
      </w:r>
      <w:r w:rsidR="00875DCB">
        <w:t>Data Layer</w:t>
      </w:r>
      <w:r w:rsidR="00836CDA">
        <w:t xml:space="preserve">, </w:t>
      </w:r>
      <w:r w:rsidR="00CE1EED">
        <w:t>Analytics</w:t>
      </w:r>
      <w:r w:rsidR="00DB624E">
        <w:t>,</w:t>
      </w:r>
      <w:r w:rsidR="00D14D67">
        <w:t xml:space="preserve"> </w:t>
      </w:r>
      <w:r w:rsidR="00CB732E">
        <w:t>Result Integration</w:t>
      </w:r>
      <w:r w:rsidR="00DB624E">
        <w:t xml:space="preserve"> and </w:t>
      </w:r>
      <w:r w:rsidR="00E2132E">
        <w:t>down-stream higher level systems</w:t>
      </w:r>
      <w:r w:rsidR="00970709">
        <w:t xml:space="preserve"> such as </w:t>
      </w:r>
      <w:r w:rsidR="003B065E">
        <w:t>Copperleaf</w:t>
      </w:r>
      <w:r w:rsidR="00AB2AFF">
        <w:t>.</w:t>
      </w:r>
      <w:r w:rsidR="00DB7E9F">
        <w:t xml:space="preserve">  </w:t>
      </w:r>
      <w:r w:rsidR="00ED32E1">
        <w:t>Th</w:t>
      </w:r>
      <w:r w:rsidR="00CF0CBE">
        <w:t xml:space="preserve">is results </w:t>
      </w:r>
      <w:r w:rsidR="006E1380">
        <w:t>in a</w:t>
      </w:r>
      <w:r w:rsidR="00C05B4C">
        <w:t xml:space="preserve"> </w:t>
      </w:r>
      <w:r w:rsidR="00ED32E1">
        <w:t>Transmission</w:t>
      </w:r>
      <w:r w:rsidR="00813F21">
        <w:t xml:space="preserve"> Asset Performance Center</w:t>
      </w:r>
      <w:r w:rsidR="00ED32E1">
        <w:t xml:space="preserve"> </w:t>
      </w:r>
      <w:r w:rsidR="006E1380">
        <w:t>that is the</w:t>
      </w:r>
      <w:r w:rsidR="00ED32E1">
        <w:t xml:space="preserve"> </w:t>
      </w:r>
      <w:r w:rsidR="00A85B66">
        <w:t>desired combination of</w:t>
      </w:r>
      <w:r w:rsidR="000C269F">
        <w:t xml:space="preserve"> </w:t>
      </w:r>
      <w:r w:rsidR="00FA37B3">
        <w:t xml:space="preserve">(1) </w:t>
      </w:r>
      <w:r w:rsidR="00C05B4C">
        <w:t>validated source</w:t>
      </w:r>
      <w:r w:rsidR="00ED32E1">
        <w:t xml:space="preserve"> data</w:t>
      </w:r>
      <w:r w:rsidR="00284C6F">
        <w:t xml:space="preserve">, </w:t>
      </w:r>
      <w:r w:rsidR="00FA37B3">
        <w:t>(</w:t>
      </w:r>
      <w:r w:rsidR="00B067E1">
        <w:t>2</w:t>
      </w:r>
      <w:r w:rsidR="00FA37B3">
        <w:t xml:space="preserve">) condition </w:t>
      </w:r>
      <w:r w:rsidR="00284C6F">
        <w:t>analytics and</w:t>
      </w:r>
      <w:r w:rsidR="00CB732E">
        <w:t xml:space="preserve"> </w:t>
      </w:r>
      <w:r w:rsidR="00B067E1">
        <w:t xml:space="preserve">(3) </w:t>
      </w:r>
      <w:r w:rsidR="00AA769C">
        <w:t>individual asset health scores</w:t>
      </w:r>
      <w:r w:rsidR="00C05B4C">
        <w:t>.</w:t>
      </w:r>
    </w:p>
    <w:p w14:paraId="470EC99E" w14:textId="1179B5C0" w:rsidR="008E7535" w:rsidRDefault="00526677" w:rsidP="00103B9D">
      <w:pPr>
        <w:pStyle w:val="figure"/>
      </w:pPr>
      <w:r>
        <w:lastRenderedPageBreak/>
        <w:drawing>
          <wp:inline distT="0" distB="0" distL="0" distR="0" wp14:anchorId="73439B47" wp14:editId="315E80A3">
            <wp:extent cx="5476875" cy="2790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6875" cy="2790825"/>
                    </a:xfrm>
                    <a:prstGeom prst="rect">
                      <a:avLst/>
                    </a:prstGeom>
                    <a:noFill/>
                    <a:ln>
                      <a:noFill/>
                    </a:ln>
                  </pic:spPr>
                </pic:pic>
              </a:graphicData>
            </a:graphic>
          </wp:inline>
        </w:drawing>
      </w:r>
    </w:p>
    <w:p w14:paraId="716B1EDE" w14:textId="35F08D5C" w:rsidR="008E7535" w:rsidRPr="00DB3EB3" w:rsidRDefault="008E7535" w:rsidP="00DB3EB3">
      <w:pPr>
        <w:pStyle w:val="FigureDesc"/>
      </w:pPr>
      <w:r w:rsidRPr="00DB3EB3">
        <w:t xml:space="preserve">Figure </w:t>
      </w:r>
      <w:r w:rsidR="00DA381B">
        <w:t>2</w:t>
      </w:r>
      <w:r w:rsidRPr="00DB3EB3">
        <w:t xml:space="preserve">. </w:t>
      </w:r>
      <w:r w:rsidR="00DC3D93">
        <w:t xml:space="preserve">Transmission </w:t>
      </w:r>
      <w:r w:rsidR="007D2C15">
        <w:t>APC High-Level Data Flows</w:t>
      </w:r>
    </w:p>
    <w:p w14:paraId="07C1FD37" w14:textId="77777777" w:rsidR="00CC5FB6" w:rsidRDefault="00CC5FB6" w:rsidP="00D04106">
      <w:pPr>
        <w:pStyle w:val="Body"/>
      </w:pPr>
    </w:p>
    <w:p w14:paraId="3726F3BF" w14:textId="0F2A5799" w:rsidR="00C37BED" w:rsidRDefault="00DB366F" w:rsidP="00C37BED">
      <w:pPr>
        <w:pStyle w:val="Heading4"/>
      </w:pPr>
      <w:r>
        <w:t>The</w:t>
      </w:r>
      <w:r w:rsidR="00C37BED" w:rsidRPr="0038714A">
        <w:t xml:space="preserve"> </w:t>
      </w:r>
      <w:r w:rsidR="00C37BED">
        <w:t xml:space="preserve">Importance of the </w:t>
      </w:r>
      <w:r w:rsidR="00C37BED" w:rsidRPr="0038714A">
        <w:t>Data Layer</w:t>
      </w:r>
    </w:p>
    <w:p w14:paraId="7DB74D6F" w14:textId="28D30598" w:rsidR="00264E0E" w:rsidRDefault="006E1579" w:rsidP="003F0726">
      <w:pPr>
        <w:pStyle w:val="Body"/>
      </w:pPr>
      <w:r>
        <w:t xml:space="preserve">GPA believes that full TVA ownership of the </w:t>
      </w:r>
      <w:r w:rsidR="00284C6F">
        <w:t xml:space="preserve">Transmission </w:t>
      </w:r>
      <w:r w:rsidR="00227D1B">
        <w:t>APC</w:t>
      </w:r>
      <w:r>
        <w:t xml:space="preserve"> </w:t>
      </w:r>
      <w:r w:rsidR="002205D1">
        <w:t>d</w:t>
      </w:r>
      <w:r>
        <w:t xml:space="preserve">ata </w:t>
      </w:r>
      <w:r w:rsidR="002205D1">
        <w:t>l</w:t>
      </w:r>
      <w:r>
        <w:t>ayer is critically important to achieving the solicitation objective</w:t>
      </w:r>
      <w:r w:rsidR="00EA0B28">
        <w:t>s</w:t>
      </w:r>
      <w:r>
        <w:t xml:space="preserve"> of</w:t>
      </w:r>
      <w:r w:rsidR="00EA0B28">
        <w:t xml:space="preserve"> </w:t>
      </w:r>
      <w:r w:rsidR="00C570E1">
        <w:t xml:space="preserve">(1) </w:t>
      </w:r>
      <w:r>
        <w:t>best</w:t>
      </w:r>
      <w:r w:rsidR="00C570E1">
        <w:t>-in-class</w:t>
      </w:r>
      <w:r>
        <w:t xml:space="preserve"> transmission asset maintenance analytics</w:t>
      </w:r>
      <w:r w:rsidR="003C1CE1">
        <w:t xml:space="preserve"> and (2) easy harmonization </w:t>
      </w:r>
      <w:r w:rsidR="00616CF0">
        <w:t xml:space="preserve">of the Transmission </w:t>
      </w:r>
      <w:r w:rsidR="00227D1B">
        <w:t>APC</w:t>
      </w:r>
      <w:r w:rsidR="008E422A">
        <w:t xml:space="preserve"> with all desired data sources as well as</w:t>
      </w:r>
      <w:r w:rsidR="00616CF0">
        <w:t xml:space="preserve"> </w:t>
      </w:r>
      <w:r w:rsidR="003C1CE1">
        <w:t xml:space="preserve">with </w:t>
      </w:r>
      <w:r w:rsidR="00A04D86">
        <w:t xml:space="preserve">emergent </w:t>
      </w:r>
      <w:r w:rsidR="00B32998">
        <w:t>larger-scale TVA enter</w:t>
      </w:r>
      <w:r w:rsidR="00BC7DB7">
        <w:t xml:space="preserve">prise IT </w:t>
      </w:r>
      <w:r w:rsidR="00C72524">
        <w:t>initiatives</w:t>
      </w:r>
      <w:r w:rsidR="00BC7DB7">
        <w:t xml:space="preserve">. </w:t>
      </w:r>
      <w:r>
        <w:t xml:space="preserve"> The architecture proposed allows TVA to easily plug in analytic components from </w:t>
      </w:r>
      <w:r w:rsidR="00595836">
        <w:t xml:space="preserve">multiple </w:t>
      </w:r>
      <w:r>
        <w:t>vendors as well as ones developed by TVA</w:t>
      </w:r>
      <w:r w:rsidR="002B0B73">
        <w:t xml:space="preserve"> and the TVA-directed </w:t>
      </w:r>
      <w:r>
        <w:t xml:space="preserve">research community.  It also allows specific source data systems, such as the work management system, to change independently of the Transmission </w:t>
      </w:r>
      <w:r w:rsidR="00227D1B">
        <w:t>APC</w:t>
      </w:r>
      <w:r>
        <w:t xml:space="preserve">. Importantly, it allows the results of one analytic to become </w:t>
      </w:r>
      <w:r w:rsidR="00D7284A">
        <w:t xml:space="preserve">the </w:t>
      </w:r>
      <w:r>
        <w:t xml:space="preserve">data </w:t>
      </w:r>
      <w:r w:rsidR="00D7284A">
        <w:t xml:space="preserve">source </w:t>
      </w:r>
      <w:r>
        <w:t xml:space="preserve">for another and for the automated </w:t>
      </w:r>
      <w:r w:rsidR="001F23EB">
        <w:t xml:space="preserve">asset health </w:t>
      </w:r>
      <w:r>
        <w:t>notification</w:t>
      </w:r>
      <w:r w:rsidR="002B0B73">
        <w:t>s</w:t>
      </w:r>
      <w:r w:rsidR="001F23EB">
        <w:t xml:space="preserve"> </w:t>
      </w:r>
      <w:r>
        <w:t>to be based on the logical combination of results from multiple analytic sources.</w:t>
      </w:r>
      <w:r w:rsidR="003F0726">
        <w:t xml:space="preserve">  Finally,</w:t>
      </w:r>
      <w:r w:rsidR="00506FD0">
        <w:t xml:space="preserve"> it</w:t>
      </w:r>
      <w:r w:rsidR="00264E0E">
        <w:t xml:space="preserve"> allows the individual best-in-class analytics for each asset type to come together into a common annunciation and display system</w:t>
      </w:r>
      <w:r w:rsidR="00CA3E56">
        <w:t>.</w:t>
      </w:r>
    </w:p>
    <w:p w14:paraId="39C86E39" w14:textId="08FCD8A2" w:rsidR="00945C37" w:rsidRDefault="00945C37" w:rsidP="00D04106">
      <w:pPr>
        <w:pStyle w:val="Body"/>
      </w:pPr>
      <w:r>
        <w:t xml:space="preserve">Within the context of the architecture </w:t>
      </w:r>
      <w:r w:rsidR="00FA5BF4">
        <w:t xml:space="preserve">shown in Figure </w:t>
      </w:r>
      <w:r w:rsidR="00903F2E">
        <w:t>2</w:t>
      </w:r>
      <w:r w:rsidR="00FA5BF4">
        <w:t xml:space="preserve">, </w:t>
      </w:r>
      <w:r w:rsidR="00630AC1">
        <w:t>GPA propose</w:t>
      </w:r>
      <w:r w:rsidR="006E1579">
        <w:t>s</w:t>
      </w:r>
      <w:r w:rsidR="00FA5BF4">
        <w:t xml:space="preserve"> to provide </w:t>
      </w:r>
      <w:r w:rsidR="00210818">
        <w:t>all functionality for the</w:t>
      </w:r>
      <w:r w:rsidR="006E1579">
        <w:t xml:space="preserve"> </w:t>
      </w:r>
      <w:r w:rsidR="00250DEE">
        <w:t xml:space="preserve">Transmission </w:t>
      </w:r>
      <w:r w:rsidR="00227D1B">
        <w:t>APC</w:t>
      </w:r>
      <w:r w:rsidR="00FA5BF4">
        <w:t xml:space="preserve"> other than </w:t>
      </w:r>
      <w:r w:rsidR="00591D09">
        <w:t xml:space="preserve">that of </w:t>
      </w:r>
      <w:r w:rsidR="00FA5BF4">
        <w:t xml:space="preserve">the </w:t>
      </w:r>
      <w:r w:rsidR="00E57B95">
        <w:t>individual analytic component</w:t>
      </w:r>
      <w:r w:rsidR="00061716">
        <w:t xml:space="preserve">s.  </w:t>
      </w:r>
      <w:r w:rsidR="00FB2F62">
        <w:t xml:space="preserve">By doing so, GPA is </w:t>
      </w:r>
      <w:r w:rsidR="008833B0">
        <w:t xml:space="preserve">interpreting </w:t>
      </w:r>
      <w:r w:rsidR="006E1579">
        <w:t xml:space="preserve">the solicitation requirements for an </w:t>
      </w:r>
      <w:r w:rsidR="008833B0">
        <w:t>“asset data aggregation</w:t>
      </w:r>
      <w:r w:rsidR="006E1579">
        <w:t xml:space="preserve"> tool</w:t>
      </w:r>
      <w:r w:rsidR="008833B0">
        <w:t xml:space="preserve">” to be </w:t>
      </w:r>
      <w:r w:rsidR="002B0B73">
        <w:t xml:space="preserve">the </w:t>
      </w:r>
      <w:r w:rsidR="008833B0">
        <w:t xml:space="preserve">aggregation of </w:t>
      </w:r>
      <w:r w:rsidR="00184F73">
        <w:t>all information</w:t>
      </w:r>
      <w:r w:rsidR="006E1579">
        <w:t xml:space="preserve"> necessary for the </w:t>
      </w:r>
      <w:r w:rsidR="00DE482F">
        <w:t>Transmission A</w:t>
      </w:r>
      <w:r w:rsidR="00674CBC">
        <w:t xml:space="preserve">sset Performance </w:t>
      </w:r>
      <w:r w:rsidR="003D46E4">
        <w:t>Center</w:t>
      </w:r>
      <w:r w:rsidR="00184F73">
        <w:t xml:space="preserve"> that is a function o</w:t>
      </w:r>
      <w:r w:rsidR="00BD4324">
        <w:t xml:space="preserve">f </w:t>
      </w:r>
      <w:r w:rsidR="006E1579">
        <w:t>an individual</w:t>
      </w:r>
      <w:r w:rsidR="00BD4324">
        <w:t xml:space="preserve"> asset </w:t>
      </w:r>
      <w:r w:rsidR="00A93737">
        <w:t>–</w:t>
      </w:r>
      <w:r w:rsidR="00BD4324">
        <w:t xml:space="preserve"> </w:t>
      </w:r>
      <w:r w:rsidR="00A93737">
        <w:t>source data</w:t>
      </w:r>
      <w:r w:rsidR="006C3934">
        <w:t xml:space="preserve"> and</w:t>
      </w:r>
      <w:r w:rsidR="00A93737">
        <w:t xml:space="preserve"> analytic results</w:t>
      </w:r>
      <w:r w:rsidR="006C3934">
        <w:t xml:space="preserve"> </w:t>
      </w:r>
      <w:r w:rsidR="006E1579">
        <w:t xml:space="preserve">as well as </w:t>
      </w:r>
      <w:r w:rsidR="000C30FB">
        <w:t>asset heath</w:t>
      </w:r>
      <w:r w:rsidR="00C14C62">
        <w:t xml:space="preserve"> notification logic.</w:t>
      </w:r>
    </w:p>
    <w:p w14:paraId="21742B44" w14:textId="1F94A5DD" w:rsidR="006E1579" w:rsidRDefault="001B1CA9" w:rsidP="00D04106">
      <w:pPr>
        <w:pStyle w:val="Body"/>
      </w:pPr>
      <w:r>
        <w:t>N</w:t>
      </w:r>
      <w:r w:rsidR="006E1579">
        <w:t xml:space="preserve">ot included in the </w:t>
      </w:r>
      <w:r w:rsidR="00860924">
        <w:t>data flow</w:t>
      </w:r>
      <w:r w:rsidR="006E1579">
        <w:t xml:space="preserve"> diagram </w:t>
      </w:r>
      <w:r w:rsidR="00BB6AC9">
        <w:t xml:space="preserve">above </w:t>
      </w:r>
      <w:r w:rsidR="009C07AD">
        <w:t>(</w:t>
      </w:r>
      <w:r w:rsidR="006E1579">
        <w:t xml:space="preserve">Figure </w:t>
      </w:r>
      <w:r w:rsidR="00DE482F">
        <w:t>2</w:t>
      </w:r>
      <w:r w:rsidR="009C07AD">
        <w:t>)</w:t>
      </w:r>
      <w:r w:rsidR="002B0B73">
        <w:t xml:space="preserve"> is</w:t>
      </w:r>
      <w:r w:rsidR="008155EC">
        <w:t xml:space="preserve"> </w:t>
      </w:r>
      <w:r w:rsidR="004D156D">
        <w:t xml:space="preserve">measurement </w:t>
      </w:r>
      <w:r w:rsidR="00787DF9">
        <w:t xml:space="preserve">data </w:t>
      </w:r>
      <w:r w:rsidR="001F5A20">
        <w:t>acquisition</w:t>
      </w:r>
      <w:r w:rsidR="002B0B73">
        <w:t xml:space="preserve">. Consistent with industry best practice, GPA recommends that the Transmission </w:t>
      </w:r>
      <w:r w:rsidR="00227D1B">
        <w:t>APC</w:t>
      </w:r>
      <w:r w:rsidR="002B0B73">
        <w:t xml:space="preserve"> lean on operational systems</w:t>
      </w:r>
      <w:r w:rsidR="001F5A20">
        <w:t xml:space="preserve"> for </w:t>
      </w:r>
      <w:r w:rsidR="0061240E">
        <w:t>acquisition of</w:t>
      </w:r>
      <w:r w:rsidR="002B0B73">
        <w:t xml:space="preserve"> </w:t>
      </w:r>
      <w:r w:rsidR="005E27C6">
        <w:t xml:space="preserve">measurement </w:t>
      </w:r>
      <w:r w:rsidR="002B0B73">
        <w:t xml:space="preserve">data </w:t>
      </w:r>
      <w:r w:rsidR="00FD080F">
        <w:t>from assets</w:t>
      </w:r>
      <w:r w:rsidR="00063D13">
        <w:t xml:space="preserve"> – ideally returned as file-based </w:t>
      </w:r>
      <w:r w:rsidR="00991DAB">
        <w:t>data or</w:t>
      </w:r>
      <w:r w:rsidR="002B0B73">
        <w:t xml:space="preserve"> in standard protocols</w:t>
      </w:r>
      <w:r w:rsidR="003150BA">
        <w:t xml:space="preserve">, </w:t>
      </w:r>
      <w:r w:rsidR="002B0B73">
        <w:t>and on the Work Management System to return periodic and ad-hoc inspection and test data.</w:t>
      </w:r>
      <w:r w:rsidR="00434D6D">
        <w:t xml:space="preserve">  </w:t>
      </w:r>
      <w:r w:rsidR="009D70C6">
        <w:t>Even so</w:t>
      </w:r>
      <w:r w:rsidR="003A72A9">
        <w:t xml:space="preserve"> (and as noted in Figure 2),</w:t>
      </w:r>
      <w:r w:rsidR="009D70C6">
        <w:t xml:space="preserve"> </w:t>
      </w:r>
      <w:r w:rsidR="00EC5662">
        <w:t xml:space="preserve">GPA recognizes that one-off </w:t>
      </w:r>
      <w:r w:rsidR="00CF7D2B">
        <w:lastRenderedPageBreak/>
        <w:t xml:space="preserve">analytic </w:t>
      </w:r>
      <w:r w:rsidR="00EC5662">
        <w:t xml:space="preserve">systems </w:t>
      </w:r>
      <w:r w:rsidR="008F4B2B">
        <w:t>may need to be supported that</w:t>
      </w:r>
      <w:r w:rsidR="00D23497">
        <w:t xml:space="preserve"> have embedded data acquisition capability</w:t>
      </w:r>
      <w:r w:rsidR="007903ED">
        <w:t xml:space="preserve"> </w:t>
      </w:r>
      <w:r w:rsidR="0040156D">
        <w:t xml:space="preserve">as </w:t>
      </w:r>
      <w:r w:rsidR="003D46E4">
        <w:t>likely be</w:t>
      </w:r>
      <w:r w:rsidR="007903ED">
        <w:t xml:space="preserve"> the case </w:t>
      </w:r>
      <w:r w:rsidR="008D110C">
        <w:t>for vendor system</w:t>
      </w:r>
      <w:r w:rsidR="00FC669A">
        <w:t>s</w:t>
      </w:r>
      <w:r w:rsidR="009D70C6">
        <w:t xml:space="preserve"> which b</w:t>
      </w:r>
      <w:r w:rsidR="00592BC0">
        <w:t>y</w:t>
      </w:r>
      <w:r w:rsidR="009D70C6">
        <w:t>-pass TVA operational networks</w:t>
      </w:r>
      <w:r w:rsidR="003D46E4">
        <w:t xml:space="preserve"> for data transport.</w:t>
      </w:r>
    </w:p>
    <w:p w14:paraId="149BA6B6" w14:textId="3249ACD7" w:rsidR="00AA08D0" w:rsidRDefault="005F1A13" w:rsidP="007979AC">
      <w:pPr>
        <w:pStyle w:val="Heading4"/>
      </w:pPr>
      <w:r>
        <w:t>Custom Solution</w:t>
      </w:r>
    </w:p>
    <w:p w14:paraId="28DF9409" w14:textId="11691405" w:rsidR="00E22296" w:rsidRDefault="00A91367" w:rsidP="00E22296">
      <w:pPr>
        <w:pStyle w:val="Body"/>
      </w:pPr>
      <w:r>
        <w:t>As described in detail in Section</w:t>
      </w:r>
      <w:r w:rsidR="00CE105F">
        <w:t xml:space="preserve"> IV of this proposal,</w:t>
      </w:r>
      <w:r w:rsidR="00AA02F8">
        <w:t xml:space="preserve"> </w:t>
      </w:r>
      <w:r w:rsidR="005F1A13">
        <w:t xml:space="preserve">GPA </w:t>
      </w:r>
      <w:r w:rsidR="00CE105F">
        <w:t>recommends</w:t>
      </w:r>
      <w:r w:rsidR="005F1A13">
        <w:t xml:space="preserve"> </w:t>
      </w:r>
      <w:r w:rsidR="00065FBA">
        <w:t>that TVA</w:t>
      </w:r>
      <w:r w:rsidR="005F1A13">
        <w:t xml:space="preserve"> build </w:t>
      </w:r>
      <w:r w:rsidR="002F4E54">
        <w:t>a c</w:t>
      </w:r>
      <w:r w:rsidR="00E0033F">
        <w:t>ustom solution</w:t>
      </w:r>
      <w:r w:rsidR="003A2EF1">
        <w:t xml:space="preserve"> </w:t>
      </w:r>
      <w:r w:rsidR="00C81BB3">
        <w:t>called openADI (Asset Data Int</w:t>
      </w:r>
      <w:r w:rsidR="004A0B32">
        <w:t>egration) to meet the</w:t>
      </w:r>
      <w:r w:rsidR="004439CE">
        <w:t xml:space="preserve"> RFP</w:t>
      </w:r>
      <w:r w:rsidR="004A0B32">
        <w:t xml:space="preserve"> requirements.</w:t>
      </w:r>
      <w:r w:rsidR="001B0283">
        <w:t xml:space="preserve">  The </w:t>
      </w:r>
      <w:r w:rsidR="00C85120">
        <w:t xml:space="preserve">proposed </w:t>
      </w:r>
      <w:r w:rsidR="001B0283">
        <w:t>openADI Tool Suite has four components</w:t>
      </w:r>
      <w:r w:rsidR="00824C15">
        <w:t>:</w:t>
      </w:r>
      <w:r w:rsidR="00011A2D">
        <w:t xml:space="preserve"> </w:t>
      </w:r>
    </w:p>
    <w:p w14:paraId="78A21635" w14:textId="059B10C9" w:rsidR="003A2EF1" w:rsidRDefault="00011A2D" w:rsidP="003A2EF1">
      <w:pPr>
        <w:pStyle w:val="Body"/>
        <w:numPr>
          <w:ilvl w:val="0"/>
          <w:numId w:val="42"/>
        </w:numPr>
        <w:ind w:left="630"/>
      </w:pPr>
      <w:r>
        <w:t xml:space="preserve"> </w:t>
      </w:r>
      <w:r w:rsidR="003A2EF1">
        <w:rPr>
          <w:noProof/>
          <w:u w:val="single"/>
        </w:rPr>
        <mc:AlternateContent>
          <mc:Choice Requires="wps">
            <w:drawing>
              <wp:anchor distT="0" distB="0" distL="114300" distR="114300" simplePos="0" relativeHeight="251658240" behindDoc="0" locked="0" layoutInCell="1" allowOverlap="1" wp14:anchorId="7ECDA416" wp14:editId="321CD196">
                <wp:simplePos x="0" y="0"/>
                <wp:positionH relativeFrom="column">
                  <wp:posOffset>4756150</wp:posOffset>
                </wp:positionH>
                <wp:positionV relativeFrom="paragraph">
                  <wp:posOffset>31115</wp:posOffset>
                </wp:positionV>
                <wp:extent cx="1080000" cy="1159200"/>
                <wp:effectExtent l="0" t="0" r="6350" b="3175"/>
                <wp:wrapNone/>
                <wp:docPr id="16" name="Text Box 16"/>
                <wp:cNvGraphicFramePr/>
                <a:graphic xmlns:a="http://schemas.openxmlformats.org/drawingml/2006/main">
                  <a:graphicData uri="http://schemas.microsoft.com/office/word/2010/wordprocessingShape">
                    <wps:wsp>
                      <wps:cNvSpPr txBox="1"/>
                      <wps:spPr>
                        <a:xfrm>
                          <a:off x="0" y="0"/>
                          <a:ext cx="1080000" cy="1159200"/>
                        </a:xfrm>
                        <a:prstGeom prst="rect">
                          <a:avLst/>
                        </a:prstGeom>
                        <a:solidFill>
                          <a:schemeClr val="lt1"/>
                        </a:solidFill>
                        <a:ln w="6350">
                          <a:noFill/>
                        </a:ln>
                      </wps:spPr>
                      <wps:txbx>
                        <w:txbxContent>
                          <w:p w14:paraId="6707C8F4" w14:textId="77777777" w:rsidR="00786B96" w:rsidRDefault="00786B96" w:rsidP="003A2EF1">
                            <w:bookmarkStart w:id="14" w:name="_Hlk30926823"/>
                            <w:bookmarkStart w:id="15" w:name="_Hlk30926813"/>
                            <w:bookmarkStart w:id="16" w:name="_Hlk30926801"/>
                            <w:bookmarkEnd w:id="14"/>
                            <w:bookmarkEnd w:id="15"/>
                            <w:bookmarkEnd w:id="16"/>
                            <w:r>
                              <w:rPr>
                                <w:noProof/>
                              </w:rPr>
                              <w:drawing>
                                <wp:inline distT="0" distB="0" distL="0" distR="0" wp14:anchorId="30B52E0E" wp14:editId="31B49AC4">
                                  <wp:extent cx="895350" cy="955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235" cy="965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A416" id="_x0000_t202" coordsize="21600,21600" o:spt="202" path="m,l,21600r21600,l21600,xe">
                <v:stroke joinstyle="miter"/>
                <v:path gradientshapeok="t" o:connecttype="rect"/>
              </v:shapetype>
              <v:shape id="Text Box 16" o:spid="_x0000_s1026" type="#_x0000_t202" style="position:absolute;left:0;text-align:left;margin-left:374.5pt;margin-top:2.45pt;width:85.05pt;height:9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" fillcolor="white [3201]" stroked="f" strokeweight=".5pt">
                <v:textbox>
                  <w:txbxContent>
                    <w:p w14:paraId="6707C8F4" w14:textId="77777777" w:rsidR="00786B96" w:rsidRDefault="00786B96" w:rsidP="003A2EF1">
                      <w:bookmarkStart w:id="17" w:name="_Hlk30926823"/>
                      <w:bookmarkStart w:id="18" w:name="_Hlk30926813"/>
                      <w:bookmarkStart w:id="19" w:name="_Hlk30926801"/>
                      <w:bookmarkEnd w:id="17"/>
                      <w:bookmarkEnd w:id="18"/>
                      <w:bookmarkEnd w:id="19"/>
                      <w:r>
                        <w:rPr>
                          <w:noProof/>
                        </w:rPr>
                        <w:drawing>
                          <wp:inline distT="0" distB="0" distL="0" distR="0" wp14:anchorId="30B52E0E" wp14:editId="31B49AC4">
                            <wp:extent cx="895350" cy="955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235" cy="965890"/>
                                    </a:xfrm>
                                    <a:prstGeom prst="rect">
                                      <a:avLst/>
                                    </a:prstGeom>
                                    <a:noFill/>
                                    <a:ln>
                                      <a:noFill/>
                                    </a:ln>
                                  </pic:spPr>
                                </pic:pic>
                              </a:graphicData>
                            </a:graphic>
                          </wp:inline>
                        </w:drawing>
                      </w:r>
                    </w:p>
                  </w:txbxContent>
                </v:textbox>
              </v:shape>
            </w:pict>
          </mc:Fallback>
        </mc:AlternateContent>
      </w:r>
      <w:r w:rsidR="003A2EF1" w:rsidRPr="00F822A2">
        <w:rPr>
          <w:u w:val="single"/>
        </w:rPr>
        <w:t>openADI Data Validation &amp; Loader Service</w:t>
      </w:r>
      <w:r w:rsidR="003A2EF1">
        <w:t xml:space="preserve"> (a back-office, Windows service)</w:t>
      </w:r>
    </w:p>
    <w:p w14:paraId="7D3AFA9E" w14:textId="77777777" w:rsidR="003A2EF1" w:rsidRDefault="003A2EF1" w:rsidP="003A2EF1">
      <w:pPr>
        <w:pStyle w:val="Body"/>
        <w:numPr>
          <w:ilvl w:val="0"/>
          <w:numId w:val="42"/>
        </w:numPr>
        <w:ind w:left="630"/>
      </w:pPr>
      <w:r w:rsidRPr="00F822A2">
        <w:rPr>
          <w:u w:val="single"/>
        </w:rPr>
        <w:t>openADI Results Service</w:t>
      </w:r>
      <w:r>
        <w:t xml:space="preserve"> (a back-office, Windows service)</w:t>
      </w:r>
    </w:p>
    <w:p w14:paraId="5AAD79E8" w14:textId="1579F6B9" w:rsidR="003A2EF1" w:rsidRDefault="003A2EF1" w:rsidP="003A2EF1">
      <w:pPr>
        <w:pStyle w:val="Body"/>
        <w:numPr>
          <w:ilvl w:val="0"/>
          <w:numId w:val="42"/>
        </w:numPr>
        <w:ind w:left="630"/>
      </w:pPr>
      <w:r>
        <w:rPr>
          <w:u w:val="single"/>
        </w:rPr>
        <w:t>openADI Database</w:t>
      </w:r>
      <w:r>
        <w:t xml:space="preserve"> (based on MS SQL Server and </w:t>
      </w:r>
      <w:r w:rsidR="00983EBC">
        <w:t xml:space="preserve">the </w:t>
      </w:r>
      <w:r>
        <w:t>openHistorian)</w:t>
      </w:r>
    </w:p>
    <w:p w14:paraId="4C2A9285" w14:textId="4465EFDC" w:rsidR="003A2EF1" w:rsidRDefault="003A2EF1" w:rsidP="003A2EF1">
      <w:pPr>
        <w:pStyle w:val="Body"/>
        <w:numPr>
          <w:ilvl w:val="0"/>
          <w:numId w:val="42"/>
        </w:numPr>
        <w:ind w:left="630"/>
      </w:pPr>
      <w:r w:rsidRPr="00F822A2">
        <w:rPr>
          <w:u w:val="single"/>
        </w:rPr>
        <w:t>openADI System Center</w:t>
      </w:r>
      <w:r>
        <w:t xml:space="preserve"> (a web-browser-based appli</w:t>
      </w:r>
      <w:r w:rsidR="00A95176">
        <w:t>cation for configuration</w:t>
      </w:r>
      <w:r>
        <w:t>)</w:t>
      </w:r>
    </w:p>
    <w:p w14:paraId="74ED13AA" w14:textId="77777777" w:rsidR="00A15D1D" w:rsidRDefault="00A15D1D" w:rsidP="005F1A13">
      <w:pPr>
        <w:pStyle w:val="Body"/>
      </w:pPr>
    </w:p>
    <w:p w14:paraId="62215BD7" w14:textId="2ABC7FE4" w:rsidR="000A7711" w:rsidRDefault="00361F4E" w:rsidP="005F1A13">
      <w:pPr>
        <w:pStyle w:val="Body"/>
      </w:pPr>
      <w:r>
        <w:t>GPA believes that there</w:t>
      </w:r>
      <w:r w:rsidR="006F30A8">
        <w:t xml:space="preserve"> may be no cost-effective</w:t>
      </w:r>
      <w:r w:rsidR="00611A78">
        <w:t xml:space="preserve"> alte</w:t>
      </w:r>
      <w:r w:rsidR="00DD72ED">
        <w:t>rnative</w:t>
      </w:r>
      <w:r w:rsidR="00F06B79">
        <w:t xml:space="preserve"> other than </w:t>
      </w:r>
      <w:r w:rsidR="00824C15">
        <w:t xml:space="preserve">building something like the openADI </w:t>
      </w:r>
      <w:r w:rsidR="00A15D1D">
        <w:t>Too Suite</w:t>
      </w:r>
      <w:r w:rsidR="006F30A8">
        <w:t xml:space="preserve"> to fully meet TVA’s requirements</w:t>
      </w:r>
      <w:r w:rsidR="00A15D1D">
        <w:t>.</w:t>
      </w:r>
      <w:r w:rsidR="00DD72ED">
        <w:t xml:space="preserve">  </w:t>
      </w:r>
      <w:r w:rsidR="003E1712">
        <w:t>Data aggregation represents the</w:t>
      </w:r>
      <w:r w:rsidR="00011A2D">
        <w:t xml:space="preserve"> </w:t>
      </w:r>
      <w:r w:rsidR="001B7D33">
        <w:t>“</w:t>
      </w:r>
      <w:r w:rsidR="00011A2D">
        <w:t>hard 80 percent</w:t>
      </w:r>
      <w:r w:rsidR="001B7D33">
        <w:t>”</w:t>
      </w:r>
      <w:r w:rsidR="003E1712">
        <w:t xml:space="preserve"> of a project </w:t>
      </w:r>
      <w:r w:rsidR="001B7D33">
        <w:t>no</w:t>
      </w:r>
      <w:r w:rsidR="00ED7A01">
        <w:t>t</w:t>
      </w:r>
      <w:r w:rsidR="001B7D33">
        <w:t xml:space="preserve"> </w:t>
      </w:r>
      <w:r w:rsidR="00ED7A01">
        <w:t>due to a lack of</w:t>
      </w:r>
      <w:r w:rsidR="001B7D33">
        <w:t xml:space="preserve"> tools to support it</w:t>
      </w:r>
      <w:r w:rsidR="00D1326C">
        <w:t xml:space="preserve">, but because </w:t>
      </w:r>
      <w:r w:rsidR="00CE1838">
        <w:t xml:space="preserve">(1) </w:t>
      </w:r>
      <w:r w:rsidR="00264EA8">
        <w:t xml:space="preserve">building </w:t>
      </w:r>
      <w:r w:rsidR="004371CF">
        <w:t xml:space="preserve">unique </w:t>
      </w:r>
      <w:r w:rsidR="00264EA8">
        <w:t xml:space="preserve">referential </w:t>
      </w:r>
      <w:r w:rsidR="004371CF">
        <w:t>links</w:t>
      </w:r>
      <w:r w:rsidR="00B24BD5">
        <w:t xml:space="preserve"> </w:t>
      </w:r>
      <w:r w:rsidR="00801E93">
        <w:t xml:space="preserve">among </w:t>
      </w:r>
      <w:r w:rsidR="00D06668">
        <w:t xml:space="preserve">systems </w:t>
      </w:r>
      <w:r w:rsidR="006F4BB2">
        <w:t>typically requires human attention</w:t>
      </w:r>
      <w:r w:rsidR="003A6446">
        <w:t xml:space="preserve"> – often lots of human attention</w:t>
      </w:r>
      <w:r w:rsidR="005E40F5">
        <w:t xml:space="preserve"> – and because</w:t>
      </w:r>
      <w:r w:rsidR="00CE1838">
        <w:t xml:space="preserve"> (2)</w:t>
      </w:r>
      <w:r w:rsidR="005E40F5">
        <w:t xml:space="preserve"> the</w:t>
      </w:r>
      <w:r w:rsidR="000C633A">
        <w:t xml:space="preserve"> optimal</w:t>
      </w:r>
      <w:r w:rsidR="005E40F5">
        <w:t xml:space="preserve"> methods for data extraction vary</w:t>
      </w:r>
      <w:r w:rsidR="00793C62">
        <w:t xml:space="preserve"> so significantly</w:t>
      </w:r>
      <w:r w:rsidR="005E40F5">
        <w:t xml:space="preserve"> f</w:t>
      </w:r>
      <w:r w:rsidR="00DD1659">
        <w:t>rom source data system to source data system and from analytic to analytic</w:t>
      </w:r>
      <w:r w:rsidR="005E40F5">
        <w:t>.</w:t>
      </w:r>
      <w:r w:rsidR="008E2C9A">
        <w:t xml:space="preserve"> </w:t>
      </w:r>
    </w:p>
    <w:p w14:paraId="35BE6EFA" w14:textId="4B048F90" w:rsidR="00764AAC" w:rsidRDefault="00AE11DF" w:rsidP="005F1A13">
      <w:pPr>
        <w:pStyle w:val="Body"/>
      </w:pPr>
      <w:r>
        <w:t>The key</w:t>
      </w:r>
      <w:r w:rsidR="00706ED3">
        <w:t xml:space="preserve"> functionality of</w:t>
      </w:r>
      <w:r w:rsidR="00962DB1">
        <w:t xml:space="preserve"> GPA’s proposed</w:t>
      </w:r>
      <w:r w:rsidR="00706ED3">
        <w:t xml:space="preserve"> openADI tool suite is </w:t>
      </w:r>
      <w:r w:rsidR="006B2E5B">
        <w:t xml:space="preserve">the </w:t>
      </w:r>
      <w:r>
        <w:t>ability to</w:t>
      </w:r>
      <w:r w:rsidR="00D825F8">
        <w:t>:</w:t>
      </w:r>
      <w:r w:rsidR="00FC49C8">
        <w:t xml:space="preserve"> </w:t>
      </w:r>
    </w:p>
    <w:p w14:paraId="5F2BC106" w14:textId="0D35375D" w:rsidR="00EB2F08" w:rsidRDefault="00007E53" w:rsidP="005F1A13">
      <w:pPr>
        <w:pStyle w:val="Body"/>
      </w:pPr>
      <w:r>
        <w:rPr>
          <w:u w:val="single"/>
        </w:rPr>
        <w:t>Obtain S</w:t>
      </w:r>
      <w:r w:rsidR="0030372F" w:rsidRPr="0030372F">
        <w:rPr>
          <w:u w:val="single"/>
        </w:rPr>
        <w:t xml:space="preserve">ource </w:t>
      </w:r>
      <w:r>
        <w:rPr>
          <w:u w:val="single"/>
        </w:rPr>
        <w:t>D</w:t>
      </w:r>
      <w:r w:rsidR="0030372F" w:rsidRPr="0030372F">
        <w:rPr>
          <w:u w:val="single"/>
        </w:rPr>
        <w:t>ata</w:t>
      </w:r>
      <w:r w:rsidR="0030372F">
        <w:t xml:space="preserve"> -- </w:t>
      </w:r>
      <w:r w:rsidR="004F36F6">
        <w:t xml:space="preserve">A custom solution is necessary </w:t>
      </w:r>
      <w:r w:rsidR="00F160FA">
        <w:t>based on</w:t>
      </w:r>
      <w:r w:rsidR="00EB2F08">
        <w:t xml:space="preserve"> th</w:t>
      </w:r>
      <w:r w:rsidR="006379D9">
        <w:t xml:space="preserve">e diversity of </w:t>
      </w:r>
      <w:r w:rsidR="002A6D20">
        <w:t xml:space="preserve">inputs </w:t>
      </w:r>
      <w:r w:rsidR="006379D9">
        <w:t xml:space="preserve">(See </w:t>
      </w:r>
      <w:r w:rsidR="002A6D20">
        <w:t>Figure 2</w:t>
      </w:r>
      <w:r w:rsidR="006379D9">
        <w:t>) where</w:t>
      </w:r>
      <w:r w:rsidR="002A6D20">
        <w:t xml:space="preserve"> </w:t>
      </w:r>
      <w:r w:rsidR="004E444E">
        <w:t>the requirements call for</w:t>
      </w:r>
      <w:r w:rsidR="00CE2D73">
        <w:t xml:space="preserve"> the integration of information with more than 10 source data systems – some </w:t>
      </w:r>
      <w:r w:rsidR="00F102E1">
        <w:t xml:space="preserve">of which are </w:t>
      </w:r>
      <w:r w:rsidR="00CE2D73">
        <w:t>legacy systems wi</w:t>
      </w:r>
      <w:r w:rsidR="00614086">
        <w:t>thout natural points of integration.</w:t>
      </w:r>
      <w:r w:rsidR="008B0EF6">
        <w:t xml:space="preserve">  </w:t>
      </w:r>
      <w:r w:rsidR="00166734">
        <w:t>Th</w:t>
      </w:r>
      <w:r w:rsidR="00345C55">
        <w:t>e GPA proposal allows the method for source data extraction to be flexible to fit the data source</w:t>
      </w:r>
      <w:r w:rsidR="0090186F">
        <w:t>.</w:t>
      </w:r>
      <w:r w:rsidR="0081377B">
        <w:t xml:space="preserve">  </w:t>
      </w:r>
      <w:r w:rsidR="000856F2">
        <w:t xml:space="preserve">If source data system </w:t>
      </w:r>
      <w:r w:rsidR="00B212E5">
        <w:t>includes</w:t>
      </w:r>
      <w:r w:rsidR="000856F2">
        <w:t xml:space="preserve"> APIs,</w:t>
      </w:r>
      <w:r w:rsidR="006A08F6">
        <w:t xml:space="preserve"> then </w:t>
      </w:r>
      <w:r w:rsidR="005F47B6">
        <w:t xml:space="preserve">there are commercial tools, such as </w:t>
      </w:r>
      <w:r w:rsidR="000856F2">
        <w:t xml:space="preserve">the TVA-preferred </w:t>
      </w:r>
      <w:r w:rsidR="005F47B6">
        <w:t xml:space="preserve">MuleSoft, that can be used to </w:t>
      </w:r>
      <w:r w:rsidR="000856F2">
        <w:t>move data among systems.</w:t>
      </w:r>
      <w:r w:rsidR="00C564EF">
        <w:t xml:space="preserve"> </w:t>
      </w:r>
      <w:r w:rsidR="002251F6">
        <w:t xml:space="preserve"> </w:t>
      </w:r>
      <w:r w:rsidR="00633C9F">
        <w:t xml:space="preserve">However, based on GPA experience these </w:t>
      </w:r>
      <w:r w:rsidR="00CA35A0">
        <w:t xml:space="preserve">custom tools have overheads that make maintenance </w:t>
      </w:r>
      <w:r w:rsidR="00E1642D">
        <w:t>time consuming</w:t>
      </w:r>
      <w:r w:rsidR="00CA35A0">
        <w:t xml:space="preserve"> and</w:t>
      </w:r>
      <w:r w:rsidR="001526FB">
        <w:t xml:space="preserve">, due to their general nature, </w:t>
      </w:r>
      <w:r w:rsidR="003031D2">
        <w:t>can often not be sufficient</w:t>
      </w:r>
      <w:r w:rsidR="00E1642D">
        <w:t>ly</w:t>
      </w:r>
      <w:r w:rsidR="003031D2">
        <w:t xml:space="preserve"> flexible to avoid </w:t>
      </w:r>
      <w:r w:rsidR="008326E6">
        <w:t xml:space="preserve">integration activity on </w:t>
      </w:r>
      <w:r w:rsidR="00DE0EBF">
        <w:t>the part of the source data system owner</w:t>
      </w:r>
      <w:r w:rsidR="001F1DE9">
        <w:t>.</w:t>
      </w:r>
    </w:p>
    <w:p w14:paraId="4A9047BB" w14:textId="37171765" w:rsidR="0057131E" w:rsidRDefault="00007E53" w:rsidP="005F1A13">
      <w:pPr>
        <w:pStyle w:val="Body"/>
      </w:pPr>
      <w:r>
        <w:rPr>
          <w:u w:val="single"/>
        </w:rPr>
        <w:t>Select Source Data Elements</w:t>
      </w:r>
      <w:r w:rsidR="0030372F">
        <w:t xml:space="preserve"> </w:t>
      </w:r>
      <w:r w:rsidR="005977FA">
        <w:t>–</w:t>
      </w:r>
      <w:r w:rsidR="0030372F">
        <w:t xml:space="preserve"> </w:t>
      </w:r>
      <w:r w:rsidR="00B212E5">
        <w:t xml:space="preserve">The good news for the Transmission Asset Performance Center project is that TPS&amp;S has a major jump start on the framework </w:t>
      </w:r>
      <w:r w:rsidR="00F12DF8">
        <w:t xml:space="preserve">for linking data </w:t>
      </w:r>
      <w:r w:rsidR="005C41E1">
        <w:t>via the</w:t>
      </w:r>
      <w:r w:rsidR="002971C1">
        <w:t xml:space="preserve"> </w:t>
      </w:r>
      <w:r w:rsidR="00B212E5">
        <w:t>TPS Information Model (See Appendix F)</w:t>
      </w:r>
      <w:r w:rsidR="0004386F">
        <w:t xml:space="preserve">. </w:t>
      </w:r>
      <w:r w:rsidR="00827445">
        <w:t xml:space="preserve"> </w:t>
      </w:r>
      <w:r w:rsidR="0002736F">
        <w:t>TPS</w:t>
      </w:r>
      <w:r w:rsidR="00996061">
        <w:t>-</w:t>
      </w:r>
      <w:r w:rsidR="0002736F">
        <w:t>IM</w:t>
      </w:r>
      <w:r w:rsidR="001473E8">
        <w:t xml:space="preserve"> includes an application to </w:t>
      </w:r>
      <w:r w:rsidR="0054128F">
        <w:t xml:space="preserve">maintain the data links as </w:t>
      </w:r>
      <w:r w:rsidR="00B74AF7">
        <w:t xml:space="preserve">assets come and go.  </w:t>
      </w:r>
      <w:r w:rsidR="00827445">
        <w:t>There are</w:t>
      </w:r>
      <w:r w:rsidR="0055519E">
        <w:t>,</w:t>
      </w:r>
      <w:r w:rsidR="00827445">
        <w:t xml:space="preserve"> </w:t>
      </w:r>
      <w:r w:rsidR="00A75BC4">
        <w:t>of course</w:t>
      </w:r>
      <w:r w:rsidR="0055519E">
        <w:t>,</w:t>
      </w:r>
      <w:r w:rsidR="00A75BC4">
        <w:t xml:space="preserve"> </w:t>
      </w:r>
      <w:r w:rsidR="00827445">
        <w:t xml:space="preserve">numerous commercial tools that </w:t>
      </w:r>
      <w:r w:rsidR="00BD661D">
        <w:t xml:space="preserve">can </w:t>
      </w:r>
      <w:r w:rsidR="00827445">
        <w:t>be used to assist with this mapping</w:t>
      </w:r>
      <w:r w:rsidR="005C41E1">
        <w:t xml:space="preserve"> as well</w:t>
      </w:r>
      <w:r w:rsidR="001473E8">
        <w:t>.</w:t>
      </w:r>
      <w:r w:rsidR="0002736F">
        <w:t xml:space="preserve">  </w:t>
      </w:r>
      <w:r w:rsidR="005C41E1">
        <w:t>Even so, w</w:t>
      </w:r>
      <w:r w:rsidR="000F60B7">
        <w:t xml:space="preserve">e believe that </w:t>
      </w:r>
      <w:r w:rsidR="005C41E1">
        <w:t>the</w:t>
      </w:r>
      <w:r w:rsidR="000F60B7">
        <w:t xml:space="preserve"> custom solution </w:t>
      </w:r>
      <w:r w:rsidR="005C41E1">
        <w:t xml:space="preserve">is also preferred </w:t>
      </w:r>
      <w:r w:rsidR="000F60B7">
        <w:t xml:space="preserve">in that it may be </w:t>
      </w:r>
      <w:r w:rsidR="005C41E1">
        <w:t xml:space="preserve">too </w:t>
      </w:r>
      <w:r w:rsidR="000F60B7">
        <w:t>early to ma</w:t>
      </w:r>
      <w:r w:rsidR="00EC3171">
        <w:t>k</w:t>
      </w:r>
      <w:r w:rsidR="000F60B7">
        <w:t xml:space="preserve">e the decision </w:t>
      </w:r>
      <w:r w:rsidR="005C41E1">
        <w:t>on the best</w:t>
      </w:r>
      <w:r w:rsidR="009C2AD5">
        <w:t xml:space="preserve"> information linking approach</w:t>
      </w:r>
      <w:r w:rsidR="00EC3171">
        <w:t>.  It</w:t>
      </w:r>
      <w:r w:rsidR="003E12C3">
        <w:t xml:space="preserve"> i</w:t>
      </w:r>
      <w:r w:rsidR="00EC3171">
        <w:t>s possible that this linking will be</w:t>
      </w:r>
      <w:r w:rsidR="008338C3">
        <w:t xml:space="preserve"> straight-</w:t>
      </w:r>
      <w:r w:rsidR="006D3D2D">
        <w:t xml:space="preserve">forward and easy </w:t>
      </w:r>
      <w:r w:rsidR="00D440E3">
        <w:t xml:space="preserve">for a data analyst to build in </w:t>
      </w:r>
      <w:r w:rsidR="00C9628F">
        <w:t xml:space="preserve">a relational system for the purpose of </w:t>
      </w:r>
      <w:r w:rsidR="00FA41C0">
        <w:t xml:space="preserve">meeting the Minimum Viable </w:t>
      </w:r>
      <w:r w:rsidR="009F7B62">
        <w:t>Product date of October 1, 2020</w:t>
      </w:r>
      <w:r w:rsidR="006D728C">
        <w:t>.</w:t>
      </w:r>
    </w:p>
    <w:p w14:paraId="0A56AAEF" w14:textId="513E3190" w:rsidR="000405AE" w:rsidRDefault="00072C88" w:rsidP="005F1A13">
      <w:pPr>
        <w:pStyle w:val="Body"/>
      </w:pPr>
      <w:r>
        <w:rPr>
          <w:u w:val="single"/>
        </w:rPr>
        <w:t xml:space="preserve">Provide </w:t>
      </w:r>
      <w:r w:rsidR="00007E53">
        <w:rPr>
          <w:u w:val="single"/>
        </w:rPr>
        <w:t>Source Data</w:t>
      </w:r>
      <w:r w:rsidR="00D45712">
        <w:rPr>
          <w:u w:val="single"/>
        </w:rPr>
        <w:t xml:space="preserve"> Delivery Assurance</w:t>
      </w:r>
      <w:r w:rsidR="008205D7">
        <w:t xml:space="preserve"> -- </w:t>
      </w:r>
      <w:r w:rsidR="006006D5">
        <w:t xml:space="preserve">A custom </w:t>
      </w:r>
      <w:r w:rsidR="00CB3B32">
        <w:t xml:space="preserve">solution is also necessarily </w:t>
      </w:r>
      <w:r w:rsidR="00A42EE9">
        <w:t>due to</w:t>
      </w:r>
      <w:r w:rsidR="00D072BE">
        <w:t xml:space="preserve"> </w:t>
      </w:r>
      <w:r w:rsidR="005F01E7">
        <w:t>the</w:t>
      </w:r>
      <w:r w:rsidR="00780A4A">
        <w:t xml:space="preserve"> </w:t>
      </w:r>
      <w:r w:rsidR="00084CC6">
        <w:t xml:space="preserve">requirement </w:t>
      </w:r>
      <w:r w:rsidR="009954E8">
        <w:t>for</w:t>
      </w:r>
      <w:r w:rsidR="00084CC6">
        <w:t xml:space="preserve"> “best in class”</w:t>
      </w:r>
      <w:r w:rsidR="007C37A6">
        <w:t xml:space="preserve"> </w:t>
      </w:r>
      <w:r w:rsidR="005535D7">
        <w:t>analytics</w:t>
      </w:r>
      <w:r w:rsidR="00236317">
        <w:t xml:space="preserve"> </w:t>
      </w:r>
      <w:r w:rsidR="00A84545">
        <w:t xml:space="preserve">-- </w:t>
      </w:r>
      <w:r w:rsidR="00236317">
        <w:t>with TVA seeking to develop some analytics internally</w:t>
      </w:r>
      <w:r w:rsidR="005535D7">
        <w:t xml:space="preserve">.  </w:t>
      </w:r>
      <w:r w:rsidR="000260AE">
        <w:t>GPA is hopeful that th</w:t>
      </w:r>
      <w:r w:rsidR="009A44F9">
        <w:t>e number</w:t>
      </w:r>
      <w:r w:rsidR="000260AE">
        <w:t xml:space="preserve"> of analytics vendors </w:t>
      </w:r>
      <w:r w:rsidR="009A44F9">
        <w:t>selected under this project will be small</w:t>
      </w:r>
      <w:r w:rsidR="00FA4E30">
        <w:t xml:space="preserve"> </w:t>
      </w:r>
      <w:r w:rsidR="009A44F9">
        <w:t xml:space="preserve">thereby </w:t>
      </w:r>
      <w:r w:rsidR="00292357">
        <w:t xml:space="preserve">simplifying the data aggregation </w:t>
      </w:r>
      <w:r w:rsidR="00061196">
        <w:t>effort</w:t>
      </w:r>
      <w:r w:rsidR="004C52B9">
        <w:t xml:space="preserve">, </w:t>
      </w:r>
      <w:r w:rsidR="00061196">
        <w:t>challenges</w:t>
      </w:r>
      <w:r w:rsidR="004C52B9">
        <w:t xml:space="preserve"> and costs.</w:t>
      </w:r>
      <w:r w:rsidR="00061196">
        <w:t xml:space="preserve"> </w:t>
      </w:r>
      <w:r w:rsidR="000A4F14">
        <w:t xml:space="preserve"> </w:t>
      </w:r>
      <w:r w:rsidR="00A96619">
        <w:t>Even so, the approaches t</w:t>
      </w:r>
      <w:r w:rsidR="00EB6078">
        <w:t xml:space="preserve">o </w:t>
      </w:r>
      <w:r w:rsidR="00EB6078">
        <w:lastRenderedPageBreak/>
        <w:t xml:space="preserve">integration </w:t>
      </w:r>
      <w:r w:rsidR="00084E39">
        <w:t xml:space="preserve">are </w:t>
      </w:r>
      <w:r w:rsidR="003C09ED">
        <w:t>certain</w:t>
      </w:r>
      <w:r w:rsidR="00084E39">
        <w:t xml:space="preserve"> to be different</w:t>
      </w:r>
      <w:r w:rsidR="00E5455B">
        <w:t xml:space="preserve"> by major asset class.</w:t>
      </w:r>
      <w:r w:rsidR="000C6C7A">
        <w:t xml:space="preserve"> </w:t>
      </w:r>
      <w:r w:rsidR="009A340A">
        <w:t xml:space="preserve">  </w:t>
      </w:r>
      <w:r w:rsidR="006A30D4">
        <w:t xml:space="preserve">Having a custom dedicated data layer also provides a </w:t>
      </w:r>
      <w:r w:rsidR="001365E2">
        <w:t xml:space="preserve">“data buffer” where this buffer is necessary to enable </w:t>
      </w:r>
      <w:r w:rsidR="00780E40">
        <w:t>asynchronous interoperability with source data providers</w:t>
      </w:r>
      <w:r w:rsidR="00D76FA7">
        <w:t xml:space="preserve"> whose systems were not designed to be an on-demand data source.</w:t>
      </w:r>
    </w:p>
    <w:p w14:paraId="3A75CCF5" w14:textId="5B918049" w:rsidR="00EC5210" w:rsidRDefault="00A4414C" w:rsidP="005F1A13">
      <w:pPr>
        <w:pStyle w:val="Body"/>
      </w:pPr>
      <w:r>
        <w:rPr>
          <w:u w:val="single"/>
        </w:rPr>
        <w:t xml:space="preserve">Integrate and </w:t>
      </w:r>
      <w:r w:rsidR="00007E53">
        <w:rPr>
          <w:u w:val="single"/>
        </w:rPr>
        <w:t>Shar</w:t>
      </w:r>
      <w:r w:rsidR="006D2D8C">
        <w:rPr>
          <w:u w:val="single"/>
        </w:rPr>
        <w:t>e</w:t>
      </w:r>
      <w:r w:rsidR="00007E53">
        <w:rPr>
          <w:u w:val="single"/>
        </w:rPr>
        <w:t xml:space="preserve"> Analytic Results</w:t>
      </w:r>
      <w:r w:rsidR="006827C3">
        <w:t xml:space="preserve"> </w:t>
      </w:r>
      <w:r w:rsidR="00780A4A">
        <w:t>–</w:t>
      </w:r>
      <w:r w:rsidR="006827C3">
        <w:t xml:space="preserve"> </w:t>
      </w:r>
      <w:r w:rsidR="0039440A">
        <w:t xml:space="preserve">As multiple vendor tools </w:t>
      </w:r>
      <w:r w:rsidR="00F067C1">
        <w:t>provide asset analytics and a</w:t>
      </w:r>
      <w:r w:rsidR="0039440A">
        <w:t xml:space="preserve">s TVA develops analytics (See Appendix D), </w:t>
      </w:r>
      <w:r w:rsidR="006E237E">
        <w:t xml:space="preserve">a custom-built, </w:t>
      </w:r>
      <w:r w:rsidR="0039440A">
        <w:t xml:space="preserve">common </w:t>
      </w:r>
      <w:r w:rsidR="00EE58B9">
        <w:t>location</w:t>
      </w:r>
      <w:r w:rsidR="0039440A">
        <w:t xml:space="preserve"> to house results</w:t>
      </w:r>
      <w:r w:rsidR="006E237E">
        <w:t xml:space="preserve">, </w:t>
      </w:r>
      <w:r w:rsidR="0039440A">
        <w:t>will greatly simpl</w:t>
      </w:r>
      <w:r w:rsidR="00592BC0">
        <w:t>if</w:t>
      </w:r>
      <w:r w:rsidR="0039440A">
        <w:t xml:space="preserve">y building dashboards and displays in the Transmission Asset Performance Center.  </w:t>
      </w:r>
      <w:r w:rsidR="00CF0CF0">
        <w:t>This common results data store</w:t>
      </w:r>
      <w:r w:rsidR="0039440A">
        <w:t xml:space="preserve"> will also make results easier to share </w:t>
      </w:r>
      <w:r w:rsidR="00CF0CF0">
        <w:t>with</w:t>
      </w:r>
      <w:r w:rsidR="0039440A">
        <w:t xml:space="preserve"> other TPS&amp;S and TVA enterprise systems such as Copperleaf and</w:t>
      </w:r>
      <w:r w:rsidR="008366D2">
        <w:t xml:space="preserve"> Microsoft</w:t>
      </w:r>
      <w:r w:rsidR="0039440A">
        <w:t xml:space="preserve"> Power</w:t>
      </w:r>
      <w:r w:rsidR="008366D2">
        <w:t xml:space="preserve"> </w:t>
      </w:r>
      <w:r w:rsidR="0039440A">
        <w:t>BI.</w:t>
      </w:r>
      <w:r w:rsidR="003025FE">
        <w:t xml:space="preserve">  Import</w:t>
      </w:r>
      <w:r w:rsidR="00EB3746">
        <w:t>a</w:t>
      </w:r>
      <w:r>
        <w:t xml:space="preserve">ntly, as results are integrated it allows the Transmission APC </w:t>
      </w:r>
      <w:r w:rsidR="00AF03F4">
        <w:t xml:space="preserve">to </w:t>
      </w:r>
      <w:r w:rsidR="00815535">
        <w:t>compute</w:t>
      </w:r>
      <w:r w:rsidR="00F43491">
        <w:t xml:space="preserve"> asset health </w:t>
      </w:r>
      <w:r w:rsidR="00EA7417">
        <w:t xml:space="preserve">based </w:t>
      </w:r>
      <w:r w:rsidR="00F43491">
        <w:t>on the logical combination of</w:t>
      </w:r>
      <w:r w:rsidR="00137454">
        <w:t xml:space="preserve"> asset health from multiple </w:t>
      </w:r>
      <w:r w:rsidR="00522715">
        <w:t xml:space="preserve">analytics and then to automatically </w:t>
      </w:r>
      <w:r w:rsidR="000A5091">
        <w:t xml:space="preserve">provide notifications should </w:t>
      </w:r>
      <w:r w:rsidR="00C335B9">
        <w:t xml:space="preserve">this </w:t>
      </w:r>
      <w:r w:rsidR="00E87E88">
        <w:t xml:space="preserve">composite </w:t>
      </w:r>
      <w:r w:rsidR="00C335B9">
        <w:t xml:space="preserve">health index fall below acceptable levels (See Appendix </w:t>
      </w:r>
      <w:r w:rsidR="00775FC6">
        <w:t>C)</w:t>
      </w:r>
    </w:p>
    <w:p w14:paraId="1D005B8D" w14:textId="589FCC9A" w:rsidR="00A56988" w:rsidRDefault="00FC395D" w:rsidP="004F6506">
      <w:pPr>
        <w:pStyle w:val="Heading5"/>
      </w:pPr>
      <w:r>
        <w:t xml:space="preserve">A </w:t>
      </w:r>
      <w:r w:rsidR="00A56988">
        <w:t>Better</w:t>
      </w:r>
      <w:r>
        <w:t xml:space="preserve"> Solution</w:t>
      </w:r>
    </w:p>
    <w:p w14:paraId="30F32F7F" w14:textId="2FCEABC1" w:rsidR="00F64233" w:rsidRPr="00F64233" w:rsidRDefault="00450D83" w:rsidP="00F64233">
      <w:pPr>
        <w:pStyle w:val="Body"/>
      </w:pPr>
      <w:r>
        <w:t>The strengths of the GPA proposed solution</w:t>
      </w:r>
      <w:r w:rsidR="00D13F53">
        <w:t xml:space="preserve"> are</w:t>
      </w:r>
      <w:r w:rsidR="00F64233">
        <w:t>:</w:t>
      </w:r>
    </w:p>
    <w:p w14:paraId="342A303A" w14:textId="0F05957B" w:rsidR="00420794" w:rsidRPr="00420794" w:rsidRDefault="006417F3" w:rsidP="00FC395D">
      <w:pPr>
        <w:pStyle w:val="Body"/>
        <w:numPr>
          <w:ilvl w:val="0"/>
          <w:numId w:val="48"/>
        </w:numPr>
      </w:pPr>
      <w:r w:rsidRPr="006417F3">
        <w:rPr>
          <w:u w:val="single"/>
        </w:rPr>
        <w:t>Scalability</w:t>
      </w:r>
      <w:r>
        <w:t xml:space="preserve"> –</w:t>
      </w:r>
      <w:r w:rsidR="00420794">
        <w:t xml:space="preserve"> Given the nature of the </w:t>
      </w:r>
      <w:r>
        <w:t xml:space="preserve">effort where the number of analytics is unknown and the number of data sources may vary as new analytics come to play, the business construct proposed by GPA allows TVA to easily scale GPA activity to meet the specific requirements of each analytic to be implemented. </w:t>
      </w:r>
    </w:p>
    <w:p w14:paraId="147C5D3A" w14:textId="137B8044" w:rsidR="00FC395D" w:rsidRDefault="00F64233" w:rsidP="00FC395D">
      <w:pPr>
        <w:pStyle w:val="Body"/>
        <w:numPr>
          <w:ilvl w:val="0"/>
          <w:numId w:val="48"/>
        </w:numPr>
      </w:pPr>
      <w:r w:rsidRPr="00F64233">
        <w:rPr>
          <w:u w:val="single"/>
        </w:rPr>
        <w:t>Flexibility</w:t>
      </w:r>
      <w:r>
        <w:t xml:space="preserve"> </w:t>
      </w:r>
      <w:r w:rsidR="006417F3">
        <w:t>–</w:t>
      </w:r>
      <w:r>
        <w:t xml:space="preserve"> </w:t>
      </w:r>
      <w:r w:rsidR="006417F3">
        <w:t xml:space="preserve">GPA is proposing a broad range of integration options so that TVA can select the integration option that best matches business and technical requirements for a specific analytic or data source.   In addition, the proposed business construct allows </w:t>
      </w:r>
      <w:r w:rsidR="00707C91">
        <w:t xml:space="preserve">TVA </w:t>
      </w:r>
      <w:r w:rsidR="006417F3">
        <w:t xml:space="preserve">to easily </w:t>
      </w:r>
      <w:r w:rsidR="00707C91">
        <w:t xml:space="preserve">adjust the </w:t>
      </w:r>
      <w:r w:rsidR="00FE68AE">
        <w:t>functionality and features</w:t>
      </w:r>
      <w:r>
        <w:t xml:space="preserve"> to meet evolving business requirements</w:t>
      </w:r>
      <w:r w:rsidR="00FE68AE">
        <w:t>.</w:t>
      </w:r>
      <w:r w:rsidR="00BB1358">
        <w:t xml:space="preserve"> </w:t>
      </w:r>
      <w:r>
        <w:t xml:space="preserve"> </w:t>
      </w:r>
      <w:r w:rsidR="006417F3">
        <w:t>Finally, s</w:t>
      </w:r>
      <w:r>
        <w:t xml:space="preserve">ince no software license fees are part of this proposal, </w:t>
      </w:r>
      <w:r w:rsidR="00A23868">
        <w:t xml:space="preserve">GPA has nothing at stake </w:t>
      </w:r>
      <w:r w:rsidR="00C57C4D">
        <w:t>sho</w:t>
      </w:r>
      <w:r w:rsidR="00DE51EE">
        <w:t xml:space="preserve">uld </w:t>
      </w:r>
      <w:r>
        <w:t>TVA choose to purchase commercial tools to handle specific dimensions of the Asset Data Aggregation solution.</w:t>
      </w:r>
    </w:p>
    <w:p w14:paraId="25DA8182" w14:textId="24D4C81C" w:rsidR="00965D1F" w:rsidRDefault="00420794" w:rsidP="00FC395D">
      <w:pPr>
        <w:pStyle w:val="Body"/>
        <w:numPr>
          <w:ilvl w:val="0"/>
          <w:numId w:val="48"/>
        </w:numPr>
      </w:pPr>
      <w:r>
        <w:rPr>
          <w:u w:val="single"/>
        </w:rPr>
        <w:t xml:space="preserve">Risk </w:t>
      </w:r>
      <w:r w:rsidR="00F64233" w:rsidRPr="00F64233">
        <w:rPr>
          <w:u w:val="single"/>
        </w:rPr>
        <w:t>Reduction</w:t>
      </w:r>
      <w:r w:rsidR="00F64233">
        <w:t xml:space="preserve"> -- </w:t>
      </w:r>
      <w:r w:rsidR="00965D1F">
        <w:t xml:space="preserve">TVA will own </w:t>
      </w:r>
      <w:r w:rsidR="00F15FA7">
        <w:t>all product delivered by TVA via the MIT License (See Appendix A)</w:t>
      </w:r>
      <w:r>
        <w:t xml:space="preserve">.  At any point, TVA can dismiss GPA and change vendors while retaining ownership of </w:t>
      </w:r>
      <w:r w:rsidR="00326DDD">
        <w:t xml:space="preserve">the </w:t>
      </w:r>
      <w:r>
        <w:t xml:space="preserve">work product delivered </w:t>
      </w:r>
      <w:r w:rsidR="006417F3">
        <w:t xml:space="preserve">by </w:t>
      </w:r>
      <w:r>
        <w:t>GPA.</w:t>
      </w:r>
    </w:p>
    <w:p w14:paraId="359D7FC9" w14:textId="1023B06C" w:rsidR="00F64233" w:rsidRDefault="00F64233" w:rsidP="00FC395D">
      <w:pPr>
        <w:pStyle w:val="Body"/>
        <w:numPr>
          <w:ilvl w:val="0"/>
          <w:numId w:val="48"/>
        </w:numPr>
      </w:pPr>
      <w:r w:rsidRPr="00F64233">
        <w:rPr>
          <w:u w:val="single"/>
        </w:rPr>
        <w:t>Data Quality</w:t>
      </w:r>
      <w:r>
        <w:t xml:space="preserve"> -- A </w:t>
      </w:r>
      <w:r w:rsidR="00420794">
        <w:t xml:space="preserve">proven, </w:t>
      </w:r>
      <w:r>
        <w:t>data validation component is provide</w:t>
      </w:r>
      <w:r w:rsidR="00420794">
        <w:t>d</w:t>
      </w:r>
      <w:r>
        <w:t xml:space="preserve"> to screen for bad or missing data source data</w:t>
      </w:r>
      <w:r w:rsidR="006417F3">
        <w:t>.</w:t>
      </w:r>
    </w:p>
    <w:p w14:paraId="5F61715F" w14:textId="642DC92B" w:rsidR="00007E53" w:rsidRDefault="006417F3" w:rsidP="00007E53">
      <w:pPr>
        <w:pStyle w:val="Body"/>
        <w:numPr>
          <w:ilvl w:val="0"/>
          <w:numId w:val="48"/>
        </w:numPr>
      </w:pPr>
      <w:r>
        <w:rPr>
          <w:u w:val="single"/>
        </w:rPr>
        <w:t xml:space="preserve">GPA Staff Availability </w:t>
      </w:r>
      <w:r>
        <w:t>– With GPA offices adjacent to TVA</w:t>
      </w:r>
      <w:r w:rsidR="00007E53">
        <w:t>’s Chattanooga Office Complex, GPA staff can easily participate face-to-face with TVA without the need for travel expenses and the inefficiencies of scheduling around times when contract staff are in town.</w:t>
      </w:r>
    </w:p>
    <w:p w14:paraId="5CB526B7" w14:textId="6FFFACE3" w:rsidR="00007E53" w:rsidRDefault="00946C27" w:rsidP="00007E53">
      <w:pPr>
        <w:pStyle w:val="Body"/>
        <w:numPr>
          <w:ilvl w:val="0"/>
          <w:numId w:val="48"/>
        </w:numPr>
      </w:pPr>
      <w:r>
        <w:rPr>
          <w:u w:val="single"/>
        </w:rPr>
        <w:t xml:space="preserve">GPA </w:t>
      </w:r>
      <w:r w:rsidR="00007E53">
        <w:rPr>
          <w:u w:val="single"/>
        </w:rPr>
        <w:t xml:space="preserve">Skills and Abilities </w:t>
      </w:r>
      <w:r w:rsidR="00007E53">
        <w:t>– GPA had a proven capability to deliver high-availability, production-grade solutions</w:t>
      </w:r>
      <w:r>
        <w:t xml:space="preserve"> for multiple utility clients</w:t>
      </w:r>
      <w:r w:rsidR="00B15D67">
        <w:t>.</w:t>
      </w:r>
    </w:p>
    <w:p w14:paraId="2385C0E3" w14:textId="3ACFDD82" w:rsidR="00F64233" w:rsidRDefault="00946C27" w:rsidP="00FC395D">
      <w:pPr>
        <w:pStyle w:val="Body"/>
        <w:numPr>
          <w:ilvl w:val="0"/>
          <w:numId w:val="48"/>
        </w:numPr>
      </w:pPr>
      <w:r>
        <w:rPr>
          <w:u w:val="single"/>
        </w:rPr>
        <w:t xml:space="preserve">GPA </w:t>
      </w:r>
      <w:r w:rsidR="006417F3" w:rsidRPr="006417F3">
        <w:rPr>
          <w:u w:val="single"/>
        </w:rPr>
        <w:t>Understanding</w:t>
      </w:r>
      <w:r w:rsidR="00007E53">
        <w:rPr>
          <w:u w:val="single"/>
        </w:rPr>
        <w:t xml:space="preserve"> of TVA</w:t>
      </w:r>
      <w:r w:rsidR="006417F3">
        <w:t xml:space="preserve"> – Perhaps the greatest value of selecting GPA on this RFP is the depth of our </w:t>
      </w:r>
      <w:r w:rsidR="00007E53">
        <w:t>ex</w:t>
      </w:r>
      <w:r w:rsidR="00B15D67">
        <w:t>isting</w:t>
      </w:r>
      <w:r w:rsidR="00007E53">
        <w:t xml:space="preserve"> </w:t>
      </w:r>
      <w:r w:rsidR="006417F3">
        <w:t>understanding of TVA information systems.</w:t>
      </w:r>
      <w:r w:rsidR="00007E53">
        <w:t xml:space="preserve">  </w:t>
      </w:r>
      <w:r w:rsidR="00211FB7">
        <w:t xml:space="preserve">GPA is in the process of implementing </w:t>
      </w:r>
      <w:r w:rsidR="00394C87">
        <w:t>a system with similar data integration cap</w:t>
      </w:r>
      <w:r w:rsidR="00AE7755">
        <w:t xml:space="preserve">ability </w:t>
      </w:r>
      <w:r w:rsidR="00B34B81">
        <w:t xml:space="preserve">to support TVA’s Power Quality </w:t>
      </w:r>
      <w:r w:rsidR="00B342A6">
        <w:t xml:space="preserve">and Disturbance Monitoring systems.  </w:t>
      </w:r>
      <w:r w:rsidR="00B9601F">
        <w:t xml:space="preserve">This system requires integration with </w:t>
      </w:r>
      <w:r w:rsidR="00B9601F">
        <w:lastRenderedPageBreak/>
        <w:t xml:space="preserve">Maximo, eDNA, </w:t>
      </w:r>
      <w:r w:rsidR="00E27BDA">
        <w:t>FAWG, ESRI GIS</w:t>
      </w:r>
      <w:r w:rsidR="00EA23D3">
        <w:t>, SIDA</w:t>
      </w:r>
      <w:r w:rsidR="001B337A">
        <w:t xml:space="preserve">, </w:t>
      </w:r>
      <w:r w:rsidR="0015182C">
        <w:t xml:space="preserve">and </w:t>
      </w:r>
      <w:r w:rsidR="001B337A">
        <w:t>Billing,</w:t>
      </w:r>
      <w:r w:rsidR="0015182C">
        <w:t xml:space="preserve"> among other systems.</w:t>
      </w:r>
      <w:r w:rsidR="001B337A">
        <w:t xml:space="preserve"> </w:t>
      </w:r>
      <w:r w:rsidR="00007E53">
        <w:t>GPA can be</w:t>
      </w:r>
      <w:r>
        <w:t>gin</w:t>
      </w:r>
      <w:r w:rsidR="00007E53">
        <w:t xml:space="preserve"> work immediately without needing to be educated, indoctrinated or trained.</w:t>
      </w:r>
    </w:p>
    <w:p w14:paraId="66D654C6" w14:textId="636B1FE8" w:rsidR="004F6506" w:rsidRDefault="004F6506" w:rsidP="004F6506">
      <w:pPr>
        <w:pStyle w:val="Heading5"/>
      </w:pPr>
      <w:r>
        <w:t>For Less</w:t>
      </w:r>
    </w:p>
    <w:p w14:paraId="629A6525" w14:textId="76B3BD7C" w:rsidR="00F64233" w:rsidRDefault="00F64233" w:rsidP="00F64233">
      <w:pPr>
        <w:pStyle w:val="Body"/>
      </w:pPr>
      <w:r>
        <w:t xml:space="preserve">The GPA </w:t>
      </w:r>
      <w:r w:rsidR="00477120">
        <w:t xml:space="preserve">custom </w:t>
      </w:r>
      <w:r>
        <w:t>solution for Asset Data Aggregation is likely t</w:t>
      </w:r>
      <w:r w:rsidR="00420794">
        <w:t xml:space="preserve">o have a </w:t>
      </w:r>
      <w:r>
        <w:t xml:space="preserve">lower </w:t>
      </w:r>
      <w:r w:rsidR="00420794">
        <w:t xml:space="preserve">total </w:t>
      </w:r>
      <w:r>
        <w:t>cost tha</w:t>
      </w:r>
      <w:r w:rsidR="00574031">
        <w:t>n</w:t>
      </w:r>
      <w:r>
        <w:t xml:space="preserve"> other proposals to TVA </w:t>
      </w:r>
      <w:r w:rsidR="00420794">
        <w:t>given that:</w:t>
      </w:r>
    </w:p>
    <w:p w14:paraId="12F74805" w14:textId="75CDF3CF" w:rsidR="004F6506" w:rsidRDefault="0081029F" w:rsidP="00007E53">
      <w:pPr>
        <w:pStyle w:val="Body"/>
        <w:numPr>
          <w:ilvl w:val="0"/>
          <w:numId w:val="49"/>
        </w:numPr>
      </w:pPr>
      <w:r w:rsidRPr="0081029F">
        <w:rPr>
          <w:u w:val="single"/>
        </w:rPr>
        <w:t>Open Source</w:t>
      </w:r>
      <w:r>
        <w:rPr>
          <w:u w:val="single"/>
        </w:rPr>
        <w:t xml:space="preserve"> </w:t>
      </w:r>
      <w:r>
        <w:t>– GPA’s proposed solution is licensed as o</w:t>
      </w:r>
      <w:r w:rsidR="00007E53">
        <w:t xml:space="preserve">pen </w:t>
      </w:r>
      <w:r>
        <w:t>s</w:t>
      </w:r>
      <w:r w:rsidR="00007E53">
        <w:t xml:space="preserve">ource </w:t>
      </w:r>
      <w:r>
        <w:t>s</w:t>
      </w:r>
      <w:r w:rsidR="00007E53">
        <w:t>oftware</w:t>
      </w:r>
      <w:r>
        <w:t xml:space="preserve"> under the permissible MIT license (Appendix A), which means there are no license fees associated with this software.</w:t>
      </w:r>
    </w:p>
    <w:p w14:paraId="6EDD7568" w14:textId="0A994B1F" w:rsidR="0081029F" w:rsidRDefault="0081029F" w:rsidP="0081029F">
      <w:pPr>
        <w:pStyle w:val="Body"/>
        <w:numPr>
          <w:ilvl w:val="0"/>
          <w:numId w:val="49"/>
        </w:numPr>
      </w:pPr>
      <w:r w:rsidRPr="0081029F">
        <w:rPr>
          <w:u w:val="single"/>
        </w:rPr>
        <w:t>TVA pays for what it gets</w:t>
      </w:r>
      <w:r>
        <w:rPr>
          <w:u w:val="single"/>
        </w:rPr>
        <w:t xml:space="preserve"> – no more </w:t>
      </w:r>
      <w:r>
        <w:t>– The proposed solution will be developed by GPA</w:t>
      </w:r>
      <w:r w:rsidR="00177A74">
        <w:t xml:space="preserve"> specifically to meet TVA’s needs</w:t>
      </w:r>
      <w:r w:rsidR="00026095">
        <w:t>,</w:t>
      </w:r>
      <w:r>
        <w:t xml:space="preserve"> and TVA </w:t>
      </w:r>
      <w:r w:rsidR="00026095">
        <w:t xml:space="preserve">will </w:t>
      </w:r>
      <w:r>
        <w:t xml:space="preserve">only pay for the functionality developed as part of this proposal. </w:t>
      </w:r>
    </w:p>
    <w:p w14:paraId="5D65A3A8" w14:textId="64377CC2" w:rsidR="00C13601" w:rsidRPr="0054709D" w:rsidRDefault="00B15369" w:rsidP="00D87B19">
      <w:pPr>
        <w:pStyle w:val="bodybullet"/>
        <w:numPr>
          <w:ilvl w:val="0"/>
          <w:numId w:val="49"/>
        </w:numPr>
      </w:pPr>
      <w:r>
        <w:rPr>
          <w:u w:val="single"/>
        </w:rPr>
        <w:t>Small Business</w:t>
      </w:r>
      <w:r w:rsidR="0054709D">
        <w:rPr>
          <w:u w:val="single"/>
        </w:rPr>
        <w:t xml:space="preserve"> </w:t>
      </w:r>
      <w:r w:rsidR="0054709D" w:rsidRPr="0054709D">
        <w:t>– GPA is a small business</w:t>
      </w:r>
      <w:r w:rsidR="000509F1">
        <w:t xml:space="preserve"> and our overheads are small</w:t>
      </w:r>
      <w:r w:rsidR="0054709D" w:rsidRPr="0054709D">
        <w:t xml:space="preserve">. This means TVA is paying for enhancements and bug fixes rather than the burden associated with supporting </w:t>
      </w:r>
      <w:r w:rsidR="000509F1">
        <w:t>larger companies</w:t>
      </w:r>
      <w:r w:rsidR="0054709D" w:rsidRPr="0054709D">
        <w:t>.</w:t>
      </w:r>
      <w:r w:rsidR="00595E16">
        <w:br/>
      </w:r>
    </w:p>
    <w:p w14:paraId="21B68AD5" w14:textId="77777777" w:rsidR="00AA79F9" w:rsidRDefault="00AA79F9" w:rsidP="00AA79F9">
      <w:pPr>
        <w:pStyle w:val="Heading4"/>
      </w:pPr>
      <w:r>
        <w:t>Product Support</w:t>
      </w:r>
    </w:p>
    <w:p w14:paraId="72F8D30F" w14:textId="4B9AB72E" w:rsidR="00AA79F9" w:rsidRDefault="00AA79F9" w:rsidP="00AA79F9">
      <w:pPr>
        <w:pStyle w:val="Body"/>
      </w:pPr>
      <w:r>
        <w:t xml:space="preserve">As a developer of open source software, one of GPA’s primary sources of revenue comes from supporting and maintaining our products.  We believe we have a good track record at providing responsive, high-quality support for the GPA products currently installed at TVA.  See Appendix G for a description of GPA’s standard product support services.  </w:t>
      </w:r>
    </w:p>
    <w:p w14:paraId="09724C10" w14:textId="77777777" w:rsidR="00AA79F9" w:rsidRDefault="00AA79F9" w:rsidP="00AA79F9">
      <w:pPr>
        <w:pStyle w:val="Body"/>
      </w:pPr>
    </w:p>
    <w:p w14:paraId="35DEB995" w14:textId="3A956647" w:rsidR="00771E3C" w:rsidRDefault="00FB5DA7" w:rsidP="00771E3C">
      <w:pPr>
        <w:pStyle w:val="Heading4"/>
      </w:pPr>
      <w:r>
        <w:t xml:space="preserve">A Business Proposal </w:t>
      </w:r>
      <w:r w:rsidR="00440001">
        <w:t>That</w:t>
      </w:r>
      <w:r w:rsidR="00013613">
        <w:t xml:space="preserve"> Manage</w:t>
      </w:r>
      <w:r w:rsidR="00440001">
        <w:t>s</w:t>
      </w:r>
      <w:r w:rsidR="000F59D6">
        <w:t xml:space="preserve"> Risk</w:t>
      </w:r>
    </w:p>
    <w:p w14:paraId="44582855" w14:textId="55CF8056" w:rsidR="0093112C" w:rsidRDefault="0093112C" w:rsidP="0093112C">
      <w:pPr>
        <w:pStyle w:val="Body"/>
      </w:pPr>
      <w:r>
        <w:t xml:space="preserve">GPA </w:t>
      </w:r>
      <w:r w:rsidR="003530D3">
        <w:t xml:space="preserve">has submitted a fixed-price proposal and would welcome an agreement with TVA to move forward on this basis.  </w:t>
      </w:r>
      <w:r w:rsidR="008539B8">
        <w:t xml:space="preserve">However, GPA is asking </w:t>
      </w:r>
      <w:r w:rsidR="00766AFA">
        <w:t xml:space="preserve">that </w:t>
      </w:r>
      <w:r w:rsidR="008539B8">
        <w:t>TVA consider</w:t>
      </w:r>
      <w:r w:rsidR="00013613">
        <w:t xml:space="preserve"> an alternative proposal </w:t>
      </w:r>
      <w:r w:rsidR="000D7731">
        <w:t>that is lower cost</w:t>
      </w:r>
      <w:r w:rsidR="00BE2EE5">
        <w:t>.  This alternative proposal</w:t>
      </w:r>
      <w:r w:rsidR="000D7731">
        <w:t xml:space="preserve"> </w:t>
      </w:r>
      <w:r w:rsidR="00013613">
        <w:t>(</w:t>
      </w:r>
      <w:r w:rsidR="00BE2EE5">
        <w:t xml:space="preserve">See </w:t>
      </w:r>
      <w:r w:rsidR="00013613">
        <w:t>Attachment 12)</w:t>
      </w:r>
      <w:r w:rsidR="00BE2EE5">
        <w:t xml:space="preserve"> </w:t>
      </w:r>
      <w:r w:rsidR="00ED075E">
        <w:t xml:space="preserve">is a mix of pure T&amp;M deliverables </w:t>
      </w:r>
      <w:r w:rsidR="003B0179">
        <w:t xml:space="preserve">for project documents </w:t>
      </w:r>
      <w:r w:rsidR="00ED075E">
        <w:t xml:space="preserve">and </w:t>
      </w:r>
      <w:r w:rsidR="00D9062A">
        <w:t xml:space="preserve">fixed-price software deliverables where </w:t>
      </w:r>
      <w:r w:rsidR="0090079F">
        <w:t>TVA’s cost</w:t>
      </w:r>
      <w:r w:rsidR="00D9062A">
        <w:t xml:space="preserve"> would be </w:t>
      </w:r>
      <w:r w:rsidR="00387D84">
        <w:t xml:space="preserve">set at a negotiated </w:t>
      </w:r>
      <w:r w:rsidR="00F264E5">
        <w:t>fixed price</w:t>
      </w:r>
      <w:r w:rsidR="00D9062A">
        <w:t xml:space="preserve"> once </w:t>
      </w:r>
      <w:r w:rsidR="006F25E9">
        <w:t>the f</w:t>
      </w:r>
      <w:r w:rsidR="003C0010">
        <w:t xml:space="preserve">unctionality </w:t>
      </w:r>
      <w:r w:rsidR="006F25E9">
        <w:t xml:space="preserve">of a specific </w:t>
      </w:r>
      <w:r w:rsidR="009552A3">
        <w:t>i</w:t>
      </w:r>
      <w:r w:rsidR="003C0010">
        <w:t xml:space="preserve">nterface </w:t>
      </w:r>
      <w:r w:rsidR="009552A3">
        <w:t xml:space="preserve">can </w:t>
      </w:r>
      <w:r w:rsidR="003C0010">
        <w:t xml:space="preserve">be </w:t>
      </w:r>
      <w:r w:rsidR="00D76A7A">
        <w:t>fully defined.</w:t>
      </w:r>
    </w:p>
    <w:p w14:paraId="129E3CF8" w14:textId="00C32867" w:rsidR="004F00AF" w:rsidRDefault="004F00AF" w:rsidP="004F00AF">
      <w:pPr>
        <w:pStyle w:val="Body"/>
      </w:pPr>
      <w:r>
        <w:t xml:space="preserve">GPA will also consider other pricing models suggested by TVA or </w:t>
      </w:r>
      <w:r w:rsidR="0059531B">
        <w:t xml:space="preserve">will </w:t>
      </w:r>
      <w:r>
        <w:t xml:space="preserve">re-evaluate the current fixed price </w:t>
      </w:r>
      <w:r w:rsidR="00520D1C">
        <w:t xml:space="preserve">proposal </w:t>
      </w:r>
      <w:r>
        <w:t>should more be known to reduce uncertainty and GPA financial risk.</w:t>
      </w:r>
      <w:r w:rsidR="00595E16">
        <w:br/>
      </w:r>
    </w:p>
    <w:p w14:paraId="407C21A5" w14:textId="3CB5CE7B" w:rsidR="00370F95" w:rsidRDefault="00370F95">
      <w:pPr>
        <w:rPr>
          <w:rFonts w:ascii="Calibri" w:hAnsi="Calibri" w:cstheme="minorHAnsi"/>
        </w:rPr>
      </w:pPr>
      <w:r>
        <w:br w:type="page"/>
      </w:r>
    </w:p>
    <w:p w14:paraId="3B8011C4" w14:textId="60944263" w:rsidR="000373CB" w:rsidRDefault="00F66BDE" w:rsidP="006D6152">
      <w:pPr>
        <w:pStyle w:val="Heading1"/>
      </w:pPr>
      <w:bookmarkStart w:id="20" w:name="_Toc31377111"/>
      <w:r>
        <w:lastRenderedPageBreak/>
        <w:t>GPA Qualifications</w:t>
      </w:r>
      <w:bookmarkEnd w:id="20"/>
    </w:p>
    <w:p w14:paraId="0A28F538" w14:textId="1C797EEF" w:rsidR="00370F95" w:rsidRDefault="00370F95" w:rsidP="00370F95">
      <w:pPr>
        <w:pStyle w:val="Body"/>
      </w:pPr>
      <w:r w:rsidRPr="001A5FCF">
        <w:t xml:space="preserve">GPA </w:t>
      </w:r>
      <w:r>
        <w:t xml:space="preserve">is a small business that builds collaborative efforts among </w:t>
      </w:r>
      <w:r w:rsidR="00E202A8">
        <w:t xml:space="preserve">electric utilities, </w:t>
      </w:r>
      <w:r w:rsidR="00451E4E">
        <w:t>g</w:t>
      </w:r>
      <w:r w:rsidRPr="001A5FCF">
        <w:t>overnment agencies, regulators, vendors</w:t>
      </w:r>
      <w:r>
        <w:t xml:space="preserve">, and </w:t>
      </w:r>
      <w:r w:rsidR="00284FD6">
        <w:t xml:space="preserve">generation </w:t>
      </w:r>
      <w:r>
        <w:t xml:space="preserve">owner-operators to advance the development and use of </w:t>
      </w:r>
      <w:r w:rsidR="00126EE9">
        <w:t xml:space="preserve">open source software </w:t>
      </w:r>
      <w:r>
        <w:t xml:space="preserve">to </w:t>
      </w:r>
      <w:r w:rsidRPr="001A5FCF">
        <w:t>create a more secure, robust and smarter electric grid</w:t>
      </w:r>
      <w:r w:rsidR="004D2AD8">
        <w:t>.</w:t>
      </w:r>
    </w:p>
    <w:p w14:paraId="2B67FFB3" w14:textId="11C62E1C" w:rsidR="004D2AD8" w:rsidRDefault="00E319B7" w:rsidP="00370F95">
      <w:pPr>
        <w:pStyle w:val="Body"/>
      </w:pPr>
      <w:r>
        <w:t>The s</w:t>
      </w:r>
      <w:r w:rsidR="004D2AD8">
        <w:t>trengths of GPA</w:t>
      </w:r>
      <w:r>
        <w:t xml:space="preserve"> are:</w:t>
      </w:r>
    </w:p>
    <w:p w14:paraId="1413A519" w14:textId="333E1D4E" w:rsidR="00530B43" w:rsidRDefault="00530B43" w:rsidP="00530B43">
      <w:pPr>
        <w:pStyle w:val="bodybullet"/>
      </w:pPr>
      <w:r>
        <w:t>Expert transmission business process</w:t>
      </w:r>
      <w:r w:rsidR="00E319B7">
        <w:t xml:space="preserve"> and technical</w:t>
      </w:r>
      <w:r>
        <w:t xml:space="preserve"> knowledge</w:t>
      </w:r>
    </w:p>
    <w:p w14:paraId="6F8497FC" w14:textId="50A7A287" w:rsidR="00530B43" w:rsidRDefault="00530B43" w:rsidP="00530B43">
      <w:pPr>
        <w:pStyle w:val="bodybullet"/>
      </w:pPr>
      <w:r>
        <w:t xml:space="preserve">Extensive experience in working with TVA </w:t>
      </w:r>
      <w:r w:rsidR="006E10CB">
        <w:t xml:space="preserve">information </w:t>
      </w:r>
      <w:r>
        <w:t>solutions including Maximo, eDNA, DFR</w:t>
      </w:r>
      <w:r w:rsidR="00DC3D93">
        <w:t>s</w:t>
      </w:r>
      <w:r>
        <w:t xml:space="preserve">, </w:t>
      </w:r>
      <w:r w:rsidR="00DC3D93">
        <w:t>Power Quality, Synchrophasors, SCADA among other operational system</w:t>
      </w:r>
    </w:p>
    <w:p w14:paraId="1525E015" w14:textId="02538144" w:rsidR="00530B43" w:rsidRDefault="00530B43" w:rsidP="00530B43">
      <w:pPr>
        <w:pStyle w:val="bodybullet"/>
      </w:pPr>
      <w:r>
        <w:t>State-of-the-industry expertise at parsing and implementing substation communications protocol</w:t>
      </w:r>
      <w:r w:rsidR="00E04E40">
        <w:t>s</w:t>
      </w:r>
    </w:p>
    <w:p w14:paraId="74988C9B" w14:textId="6B9812AD" w:rsidR="00530B43" w:rsidRDefault="00530B43" w:rsidP="00530B43">
      <w:pPr>
        <w:pStyle w:val="bodybullet"/>
      </w:pPr>
      <w:r>
        <w:t>Experience in integrating operational (SCADA, disturbance and phasor data) with other transmission information systems</w:t>
      </w:r>
    </w:p>
    <w:p w14:paraId="441159FA" w14:textId="429C1811" w:rsidR="00DC3D93" w:rsidRDefault="00DC3D93" w:rsidP="00530B43">
      <w:pPr>
        <w:pStyle w:val="bodybullet"/>
      </w:pPr>
      <w:r>
        <w:t>Incorporation of the latest technologies and tools in GPA solutions</w:t>
      </w:r>
      <w:r w:rsidR="000A65C8">
        <w:t xml:space="preserve"> (See </w:t>
      </w:r>
      <w:r w:rsidR="00F5313F">
        <w:t>Appendix E, The Gemstone Library)</w:t>
      </w:r>
    </w:p>
    <w:p w14:paraId="48975E43" w14:textId="08AA36BA" w:rsidR="00DC3D93" w:rsidRDefault="00DC3D93" w:rsidP="00DC3D93">
      <w:pPr>
        <w:pStyle w:val="bodybullet"/>
      </w:pPr>
      <w:r>
        <w:t xml:space="preserve">Experience in working </w:t>
      </w:r>
      <w:r w:rsidR="005E6D20">
        <w:t xml:space="preserve">with </w:t>
      </w:r>
      <w:r>
        <w:t>the TVA IT project management model</w:t>
      </w:r>
    </w:p>
    <w:p w14:paraId="70296FD9" w14:textId="1209A7E1" w:rsidR="006E10CB" w:rsidRDefault="00F64233" w:rsidP="00DC3D93">
      <w:pPr>
        <w:pStyle w:val="bodybullet"/>
      </w:pPr>
      <w:r>
        <w:t>Quality of r</w:t>
      </w:r>
      <w:r w:rsidR="006E10CB">
        <w:t>elationships with commercial vendors and our ability to collaborate with them</w:t>
      </w:r>
    </w:p>
    <w:p w14:paraId="2C3E82C7" w14:textId="558CCB53" w:rsidR="00F64233" w:rsidRDefault="001D6E3F" w:rsidP="00DC3D93">
      <w:pPr>
        <w:pStyle w:val="bodybullet"/>
      </w:pPr>
      <w:r>
        <w:t>A r</w:t>
      </w:r>
      <w:r w:rsidR="00F64233">
        <w:t>eputation for delivery of products that operate reliability</w:t>
      </w:r>
    </w:p>
    <w:p w14:paraId="6165B492" w14:textId="7E87C60B" w:rsidR="00E30DE8" w:rsidRDefault="00E30DE8" w:rsidP="00E30DE8">
      <w:pPr>
        <w:pStyle w:val="Heading3"/>
      </w:pPr>
      <w:bookmarkStart w:id="21" w:name="_Toc31377112"/>
      <w:r>
        <w:t>Value of Open Source Software</w:t>
      </w:r>
      <w:bookmarkEnd w:id="21"/>
    </w:p>
    <w:p w14:paraId="3AA18658" w14:textId="08D0175C" w:rsidR="00E30DE8" w:rsidRDefault="00E30DE8" w:rsidP="00E30DE8">
      <w:pPr>
        <w:pStyle w:val="Body"/>
      </w:pPr>
      <w:r>
        <w:t xml:space="preserve">All GPA software provided under this project will be open-source software (OSS) that is made available to TVA </w:t>
      </w:r>
      <w:r w:rsidRPr="00DF28AA">
        <w:t>without a license fee</w:t>
      </w:r>
      <w:r>
        <w:t xml:space="preserve"> under the permissive MIT license (See Appendix A).  This license provides TVA unrestricted access</w:t>
      </w:r>
      <w:r>
        <w:rPr>
          <w:rStyle w:val="FootnoteReference"/>
        </w:rPr>
        <w:footnoteReference w:id="2"/>
      </w:r>
      <w:r>
        <w:t xml:space="preserve"> to all open-source code to be used in this project – including code developed before the start of the project.</w:t>
      </w:r>
    </w:p>
    <w:p w14:paraId="321CCC5C" w14:textId="5FAFBDE1" w:rsidR="00E30DE8" w:rsidRDefault="00E30DE8" w:rsidP="00E30DE8">
      <w:pPr>
        <w:pStyle w:val="Body"/>
      </w:pPr>
      <w:r>
        <w:t xml:space="preserve">Open source software offers </w:t>
      </w:r>
      <w:r w:rsidR="003772EC">
        <w:t>TVA the following business advantages.</w:t>
      </w:r>
    </w:p>
    <w:p w14:paraId="23B0CB4E" w14:textId="6F7C6442" w:rsidR="00E30DE8" w:rsidRDefault="00E30DE8" w:rsidP="005C32EB">
      <w:pPr>
        <w:pStyle w:val="Heading5"/>
      </w:pPr>
      <w:r>
        <w:t>No</w:t>
      </w:r>
      <w:r w:rsidRPr="006C4224">
        <w:t xml:space="preserve"> Vendor Lock-in</w:t>
      </w:r>
    </w:p>
    <w:p w14:paraId="5074285B" w14:textId="77777777" w:rsidR="00E30DE8" w:rsidRPr="006C4224" w:rsidRDefault="00E30DE8" w:rsidP="00E30DE8">
      <w:pPr>
        <w:pStyle w:val="Body"/>
      </w:pPr>
      <w:r>
        <w:t>The user is free to move from one application to another, or from one source of support to another, and has access to the source code which can be maintained or enhanced in-house if desirable.</w:t>
      </w:r>
    </w:p>
    <w:p w14:paraId="133D0DAB" w14:textId="77777777" w:rsidR="00E30DE8" w:rsidRDefault="00E30DE8" w:rsidP="005C32EB">
      <w:pPr>
        <w:pStyle w:val="Heading5"/>
      </w:pPr>
      <w:r w:rsidRPr="006C4224">
        <w:t>Low</w:t>
      </w:r>
      <w:r>
        <w:t>er Total</w:t>
      </w:r>
      <w:r w:rsidRPr="006C4224">
        <w:t xml:space="preserve"> Cost</w:t>
      </w:r>
    </w:p>
    <w:p w14:paraId="28420E19" w14:textId="77777777" w:rsidR="00E30DE8" w:rsidRDefault="00E30DE8" w:rsidP="00E30DE8">
      <w:pPr>
        <w:pStyle w:val="Body"/>
      </w:pPr>
      <w:r>
        <w:t>Since there are no initial or annual licensing fees, there can be substantial savings in the acquisition and deployment of OSS applications.  When enhancements are needed, development costs are limited to the task at hand and do not carry the burden of supporting a larger organization.  Bug fixes and some broadly appealing enhancements are often donated, which further reduces the total cost of ownership.</w:t>
      </w:r>
    </w:p>
    <w:p w14:paraId="092398AC" w14:textId="77777777" w:rsidR="00E30DE8" w:rsidRDefault="00E30DE8" w:rsidP="005C32EB">
      <w:pPr>
        <w:pStyle w:val="Heading5"/>
      </w:pPr>
      <w:r w:rsidRPr="006C4224">
        <w:lastRenderedPageBreak/>
        <w:t>High</w:t>
      </w:r>
      <w:r>
        <w:t>er</w:t>
      </w:r>
      <w:r w:rsidRPr="006C4224">
        <w:t xml:space="preserve"> Quality</w:t>
      </w:r>
    </w:p>
    <w:p w14:paraId="35A4ABD1" w14:textId="77777777" w:rsidR="00E30DE8" w:rsidRDefault="00E30DE8" w:rsidP="00E30DE8">
      <w:pPr>
        <w:pStyle w:val="Body"/>
      </w:pPr>
      <w:r>
        <w:t>OSS applications must be of reasonably good quality to be successful in attracting community involvement, and engaging users.  Once established, the community provides continuous review by “many eyes”, and there is no way to “hide” a bug.  Additionally, the development capabilities are not limited to one company’s resources.  The code base is maintained by a steward, that verifies any changes before they are distributed.</w:t>
      </w:r>
    </w:p>
    <w:p w14:paraId="096046A6" w14:textId="77777777" w:rsidR="00E30DE8" w:rsidRDefault="00E30DE8" w:rsidP="005C32EB">
      <w:pPr>
        <w:pStyle w:val="Heading5"/>
      </w:pPr>
      <w:r>
        <w:t xml:space="preserve">Assured </w:t>
      </w:r>
      <w:r>
        <w:rPr>
          <w:rFonts w:cs="Times New Roman"/>
        </w:rPr>
        <w:t>Security</w:t>
      </w:r>
    </w:p>
    <w:p w14:paraId="4D82F9FD" w14:textId="77777777" w:rsidR="00E30DE8" w:rsidRDefault="00E30DE8" w:rsidP="00E30DE8">
      <w:pPr>
        <w:pStyle w:val="Body"/>
      </w:pPr>
      <w:r>
        <w:t xml:space="preserve">The code visibility provided by OSS provides the opportunity for wide review, and the flexible nature of OSS allows identified changes to be deployed rapidly.   </w:t>
      </w:r>
    </w:p>
    <w:p w14:paraId="34BD34C7" w14:textId="77777777" w:rsidR="00E30DE8" w:rsidRDefault="00E30DE8" w:rsidP="005C32EB">
      <w:pPr>
        <w:pStyle w:val="Heading5"/>
      </w:pPr>
      <w:r>
        <w:t>State-of-the-A</w:t>
      </w:r>
      <w:r w:rsidRPr="006C4224">
        <w:t>rt</w:t>
      </w:r>
    </w:p>
    <w:p w14:paraId="599E9646" w14:textId="77777777" w:rsidR="00E30DE8" w:rsidRPr="006C4224" w:rsidRDefault="00E30DE8" w:rsidP="00E30DE8">
      <w:pPr>
        <w:pStyle w:val="Body"/>
      </w:pPr>
      <w:r>
        <w:t>OSS is not bound by previous commercial investment, and it has the flexibility to use the latest techniques.  It is often developed with intentional design for extension and enhancement, and the continuous community review avoids stagnation that can occur within the developers of a single company.</w:t>
      </w:r>
    </w:p>
    <w:p w14:paraId="33F7EF6B" w14:textId="5AC7B767" w:rsidR="00E30DE8" w:rsidRDefault="00E30DE8" w:rsidP="005C32EB">
      <w:pPr>
        <w:pStyle w:val="Heading5"/>
      </w:pPr>
      <w:r>
        <w:t xml:space="preserve">Promotes </w:t>
      </w:r>
      <w:r w:rsidR="001D153C">
        <w:t>C</w:t>
      </w:r>
      <w:r w:rsidRPr="006C4224">
        <w:t>ollaboration</w:t>
      </w:r>
    </w:p>
    <w:p w14:paraId="49A8BC9A" w14:textId="6D343A3B" w:rsidR="00E30DE8" w:rsidRPr="006C4224" w:rsidRDefault="00E30DE8" w:rsidP="00E30DE8">
      <w:pPr>
        <w:pStyle w:val="Body"/>
      </w:pPr>
      <w:r>
        <w:t>The absence of financial concerns around licensing fees, and the freedom to share code and ideas with a large community make</w:t>
      </w:r>
      <w:r w:rsidR="00B8029D">
        <w:t>s</w:t>
      </w:r>
      <w:r>
        <w:t xml:space="preserve"> OSS an ideal vehicle for bringing together many participants from different entities such as research, academia, government, utility and vendors.</w:t>
      </w:r>
    </w:p>
    <w:p w14:paraId="69584CE4" w14:textId="77777777" w:rsidR="00E30DE8" w:rsidRDefault="00E30DE8" w:rsidP="005C32EB">
      <w:pPr>
        <w:pStyle w:val="Heading5"/>
      </w:pPr>
      <w:r>
        <w:t>Enables I</w:t>
      </w:r>
      <w:r w:rsidRPr="006C4224">
        <w:t>nnovation</w:t>
      </w:r>
    </w:p>
    <w:p w14:paraId="7B8AA4B6" w14:textId="013972E1" w:rsidR="00E30DE8" w:rsidRPr="006C4224" w:rsidRDefault="00E30DE8" w:rsidP="00E30DE8">
      <w:pPr>
        <w:pStyle w:val="Body"/>
      </w:pPr>
      <w:r>
        <w:t xml:space="preserve">The collaborative aspect of OSS as described above eliminates the ‘Not </w:t>
      </w:r>
      <w:r w:rsidR="00B61938">
        <w:t>I</w:t>
      </w:r>
      <w:r>
        <w:t>nvented Here’ syndrome and provides developers more freedom to experiment.  Community sharing of ideas and reviewing each other’s work fosters creativity.</w:t>
      </w:r>
    </w:p>
    <w:p w14:paraId="10DDCAD0" w14:textId="77777777" w:rsidR="00E30DE8" w:rsidRDefault="00E30DE8" w:rsidP="005C32EB">
      <w:pPr>
        <w:pStyle w:val="Heading5"/>
      </w:pPr>
      <w:r>
        <w:t>Faster Delivery</w:t>
      </w:r>
    </w:p>
    <w:p w14:paraId="27BA483C" w14:textId="312DF943" w:rsidR="00E30DE8" w:rsidRDefault="00E30DE8" w:rsidP="00E30DE8">
      <w:pPr>
        <w:pStyle w:val="Body"/>
      </w:pPr>
      <w:r>
        <w:t xml:space="preserve">The community environment of OSS allows direct application of the concept ‘many hands make light work’, and decreased restrictions combined with increased innovation and creativity result in decreased development time.  No contract negotiations, and no financial incentive to </w:t>
      </w:r>
      <w:r w:rsidR="002403DD">
        <w:t>in</w:t>
      </w:r>
      <w:r>
        <w:t xml:space="preserve">stall a </w:t>
      </w:r>
      <w:r w:rsidR="00983F0F">
        <w:t xml:space="preserve">new </w:t>
      </w:r>
      <w:r>
        <w:t>release to recoup investment</w:t>
      </w:r>
      <w:r w:rsidR="00983F0F">
        <w:t>s</w:t>
      </w:r>
      <w:r>
        <w:t xml:space="preserve"> in the previous version facilitate</w:t>
      </w:r>
      <w:r w:rsidR="00761579">
        <w:t>s the</w:t>
      </w:r>
      <w:r>
        <w:t xml:space="preserve"> </w:t>
      </w:r>
      <w:proofErr w:type="gramStart"/>
      <w:r>
        <w:t>more timely</w:t>
      </w:r>
      <w:proofErr w:type="gramEnd"/>
      <w:r>
        <w:t xml:space="preserve"> delivery of </w:t>
      </w:r>
      <w:r w:rsidR="00761579">
        <w:t>software.</w:t>
      </w:r>
    </w:p>
    <w:p w14:paraId="2F730282" w14:textId="36BEC5D2" w:rsidR="004970AC" w:rsidRDefault="00654652" w:rsidP="00E30DE8">
      <w:pPr>
        <w:pStyle w:val="Heading3"/>
      </w:pPr>
      <w:bookmarkStart w:id="22" w:name="_Toc31377113"/>
      <w:r>
        <w:t xml:space="preserve">GPA’s </w:t>
      </w:r>
      <w:r w:rsidR="004970AC">
        <w:t>Open Source Product</w:t>
      </w:r>
      <w:r w:rsidR="00045E5B">
        <w:t>s</w:t>
      </w:r>
      <w:bookmarkEnd w:id="22"/>
    </w:p>
    <w:p w14:paraId="36E93C9C" w14:textId="1A6745A1" w:rsidR="004970AC" w:rsidRDefault="00C91FBB" w:rsidP="00370F95">
      <w:pPr>
        <w:pStyle w:val="Body"/>
      </w:pPr>
      <w:r>
        <w:t xml:space="preserve">GPA </w:t>
      </w:r>
      <w:r w:rsidR="001F5A3B">
        <w:t xml:space="preserve">currently has two major product lines </w:t>
      </w:r>
      <w:r w:rsidR="00143641">
        <w:t>or tool suites</w:t>
      </w:r>
      <w:r w:rsidR="00B00C5B">
        <w:t xml:space="preserve"> – one to handle synchrophasor data from collection t</w:t>
      </w:r>
      <w:r w:rsidR="00576209">
        <w:t xml:space="preserve">hrough automated </w:t>
      </w:r>
      <w:r w:rsidR="00E15DAE">
        <w:t xml:space="preserve">analytics and one to manage </w:t>
      </w:r>
      <w:r w:rsidR="00A40CFF">
        <w:t xml:space="preserve">disturbance data from </w:t>
      </w:r>
      <w:r w:rsidR="003771A4">
        <w:t xml:space="preserve">its collection from </w:t>
      </w:r>
      <w:r w:rsidR="00A40CFF">
        <w:t>relays, DFRs and power quality meters</w:t>
      </w:r>
      <w:r w:rsidR="00526231">
        <w:t xml:space="preserve"> </w:t>
      </w:r>
      <w:r w:rsidR="003771A4">
        <w:t>through automated analytics.</w:t>
      </w:r>
    </w:p>
    <w:p w14:paraId="06E6EB7D" w14:textId="63E4BE26" w:rsidR="00F1435A" w:rsidRDefault="00F1435A" w:rsidP="00370F95">
      <w:pPr>
        <w:pStyle w:val="Body"/>
      </w:pPr>
    </w:p>
    <w:p w14:paraId="595FAA4B" w14:textId="4614EE11" w:rsidR="00F1435A" w:rsidRDefault="00F1435A">
      <w:pPr>
        <w:rPr>
          <w:rFonts w:ascii="Calibri" w:hAnsi="Calibri" w:cstheme="minorHAnsi"/>
        </w:rPr>
      </w:pPr>
      <w:r>
        <w:br w:type="page"/>
      </w:r>
    </w:p>
    <w:p w14:paraId="393A5B69" w14:textId="4683568F" w:rsidR="003E4E58" w:rsidRDefault="003E4E58" w:rsidP="003E4E58">
      <w:pPr>
        <w:pStyle w:val="Body"/>
      </w:pPr>
      <w:r w:rsidRPr="00DA1B05">
        <w:lastRenderedPageBreak/>
        <w:t xml:space="preserve">GPA’s </w:t>
      </w:r>
      <w:r w:rsidRPr="00A64CCF">
        <w:t>synchrophasor data products are</w:t>
      </w:r>
      <w:r w:rsidRPr="00DA1B05">
        <w:t xml:space="preserve"> shown in Figure 3.</w:t>
      </w:r>
    </w:p>
    <w:p w14:paraId="379C7947" w14:textId="77777777" w:rsidR="001D2EBB" w:rsidRPr="00DA1B05" w:rsidRDefault="001D2EBB" w:rsidP="003E4E58">
      <w:pPr>
        <w:pStyle w:val="Body"/>
      </w:pPr>
    </w:p>
    <w:p w14:paraId="0ED19BD8" w14:textId="77777777" w:rsidR="003E4E58" w:rsidRDefault="003E4E58" w:rsidP="003E4E58">
      <w:pPr>
        <w:pStyle w:val="figure"/>
      </w:pPr>
      <w:r>
        <w:drawing>
          <wp:inline distT="0" distB="0" distL="0" distR="0" wp14:anchorId="49E5E444" wp14:editId="1372EE48">
            <wp:extent cx="54768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6875" cy="1990725"/>
                    </a:xfrm>
                    <a:prstGeom prst="rect">
                      <a:avLst/>
                    </a:prstGeom>
                    <a:noFill/>
                    <a:ln>
                      <a:noFill/>
                    </a:ln>
                  </pic:spPr>
                </pic:pic>
              </a:graphicData>
            </a:graphic>
          </wp:inline>
        </w:drawing>
      </w:r>
    </w:p>
    <w:p w14:paraId="1A547900" w14:textId="77777777" w:rsidR="003E4E58" w:rsidRDefault="003E4E58" w:rsidP="003E4E58">
      <w:pPr>
        <w:pStyle w:val="FigureDesc"/>
      </w:pPr>
      <w:r>
        <w:t>Figure 3. GPA’s Synchrophasor Data Products</w:t>
      </w:r>
    </w:p>
    <w:p w14:paraId="35B2AC13" w14:textId="77777777" w:rsidR="003E4E58" w:rsidRDefault="003E4E58" w:rsidP="003E4E58">
      <w:pPr>
        <w:pStyle w:val="FigureDesc"/>
      </w:pPr>
    </w:p>
    <w:p w14:paraId="22801BC9" w14:textId="77777777" w:rsidR="003E4E58" w:rsidRDefault="003E4E58" w:rsidP="001D2EBB">
      <w:pPr>
        <w:pStyle w:val="bodybullet"/>
        <w:keepLines/>
      </w:pPr>
      <w:r w:rsidRPr="00B223FF">
        <w:rPr>
          <w:b/>
          <w:bCs/>
        </w:rPr>
        <w:t>openPDC</w:t>
      </w:r>
      <w:r>
        <w:t xml:space="preserve"> – The open source Phasor Data Concentrator has been in production use worldwide since 2004. The software platform exists as a high-performance data concentrator platform for managing streaming synchrophasor and other time-series data in real-time.</w:t>
      </w:r>
    </w:p>
    <w:p w14:paraId="27B6C16B" w14:textId="77777777" w:rsidR="003E4E58" w:rsidRDefault="003E4E58" w:rsidP="001D2EBB">
      <w:pPr>
        <w:pStyle w:val="bodybullet"/>
        <w:keepLines/>
      </w:pPr>
      <w:r w:rsidRPr="00B223FF">
        <w:rPr>
          <w:b/>
          <w:bCs/>
        </w:rPr>
        <w:t>SIEGate</w:t>
      </w:r>
      <w:r>
        <w:t xml:space="preserve"> – The Secure Information Exchange Gateway</w:t>
      </w:r>
      <w:r w:rsidRPr="002D0202">
        <w:t xml:space="preserve"> is a security-centric appliance designed </w:t>
      </w:r>
      <w:r>
        <w:t xml:space="preserve">to be deployed at the edge of an infrastructure for diverse types of data exchange. The platform exists to </w:t>
      </w:r>
      <w:r w:rsidRPr="002D0202">
        <w:t>reliably exchange information necessary to support real-time operations</w:t>
      </w:r>
      <w:r>
        <w:t>, including time series data</w:t>
      </w:r>
      <w:r w:rsidRPr="002D0202">
        <w:t xml:space="preserve">, </w:t>
      </w:r>
      <w:r>
        <w:t>notifications,</w:t>
      </w:r>
      <w:r w:rsidRPr="002D0202">
        <w:t xml:space="preserve"> </w:t>
      </w:r>
      <w:r>
        <w:t>and</w:t>
      </w:r>
      <w:r w:rsidRPr="002D0202">
        <w:t xml:space="preserve"> file-based data.</w:t>
      </w:r>
    </w:p>
    <w:p w14:paraId="2926DFB8" w14:textId="658C713C" w:rsidR="003E4E58" w:rsidRDefault="003E4E58" w:rsidP="001D2EBB">
      <w:pPr>
        <w:pStyle w:val="bodybullet"/>
        <w:keepLines/>
      </w:pPr>
      <w:r w:rsidRPr="00B223FF">
        <w:rPr>
          <w:b/>
          <w:bCs/>
        </w:rPr>
        <w:t>substationSBG</w:t>
      </w:r>
      <w:r>
        <w:t xml:space="preserve"> – The substation Secure Buffered Gateway </w:t>
      </w:r>
      <w:r w:rsidRPr="000F47C1">
        <w:t xml:space="preserve">couples the features of </w:t>
      </w:r>
      <w:r>
        <w:t>a PDC, historian</w:t>
      </w:r>
      <w:r w:rsidR="008F4E82">
        <w:t xml:space="preserve"> </w:t>
      </w:r>
      <w:r w:rsidRPr="000F47C1">
        <w:t xml:space="preserve">and </w:t>
      </w:r>
      <w:r>
        <w:t xml:space="preserve">a gateway </w:t>
      </w:r>
      <w:r w:rsidRPr="000F47C1">
        <w:t>to form a purpose-built, high-availability data gateway for use in substations</w:t>
      </w:r>
      <w:r>
        <w:t xml:space="preserve"> with the ability to recover data to a central repository after a communications outage</w:t>
      </w:r>
      <w:r w:rsidRPr="000F47C1">
        <w:t xml:space="preserve">. </w:t>
      </w:r>
      <w:r>
        <w:t xml:space="preserve">As </w:t>
      </w:r>
      <w:r w:rsidRPr="000F47C1">
        <w:t>both a substation PDC with a local data historian and a phasor gateway</w:t>
      </w:r>
      <w:r>
        <w:t>, it</w:t>
      </w:r>
      <w:r w:rsidRPr="000F47C1">
        <w:t xml:space="preserve"> enable</w:t>
      </w:r>
      <w:r>
        <w:t>s</w:t>
      </w:r>
      <w:r w:rsidRPr="000F47C1">
        <w:t xml:space="preserve"> secure, reliable communication of data from the substation to the control center</w:t>
      </w:r>
      <w:r>
        <w:t xml:space="preserve"> and is commonly deployed </w:t>
      </w:r>
      <w:r w:rsidRPr="000F47C1">
        <w:t>on fan-less substation computers.</w:t>
      </w:r>
    </w:p>
    <w:p w14:paraId="53615203" w14:textId="2634BB5B" w:rsidR="003E4E58" w:rsidRDefault="003E4E58" w:rsidP="001D2EBB">
      <w:pPr>
        <w:pStyle w:val="bodybullet"/>
        <w:keepLines/>
      </w:pPr>
      <w:r w:rsidRPr="00B223FF">
        <w:rPr>
          <w:b/>
          <w:bCs/>
        </w:rPr>
        <w:t>Stream Splitter</w:t>
      </w:r>
      <w:r>
        <w:t xml:space="preserve"> – </w:t>
      </w:r>
      <w:r w:rsidRPr="00DF72F9">
        <w:t>The Stream Splitter is used to generate multiple data streams from a single synchrophasor stream source. This service</w:t>
      </w:r>
      <w:r w:rsidR="00ED1736">
        <w:t>-</w:t>
      </w:r>
      <w:r w:rsidRPr="00DF72F9">
        <w:t xml:space="preserve">based application consumes an incoming stream of data (e.g., from a substation with limited bandwidth where sending multiple streams would be impractical) </w:t>
      </w:r>
      <w:r>
        <w:t xml:space="preserve">then </w:t>
      </w:r>
      <w:r w:rsidRPr="00DF72F9">
        <w:t xml:space="preserve">redistributes the stream </w:t>
      </w:r>
      <w:r>
        <w:t>where</w:t>
      </w:r>
      <w:r w:rsidRPr="00DF72F9">
        <w:t xml:space="preserve"> needed</w:t>
      </w:r>
      <w:r>
        <w:t>, including the ability outbound data across security zones in high-to-low trust order</w:t>
      </w:r>
      <w:r w:rsidRPr="00DF72F9">
        <w:t>.</w:t>
      </w:r>
    </w:p>
    <w:p w14:paraId="57941175" w14:textId="77777777" w:rsidR="003E4E58" w:rsidRDefault="003E4E58" w:rsidP="001D2EBB">
      <w:pPr>
        <w:pStyle w:val="bodybullet"/>
        <w:keepLines/>
      </w:pPr>
      <w:r w:rsidRPr="00B223FF">
        <w:rPr>
          <w:b/>
          <w:bCs/>
        </w:rPr>
        <w:t>GEP and STTP Protocols</w:t>
      </w:r>
      <w:r>
        <w:t xml:space="preserve"> – </w:t>
      </w:r>
      <w:r w:rsidRPr="00DF72F9">
        <w:t xml:space="preserve">The </w:t>
      </w:r>
      <w:r>
        <w:t xml:space="preserve">Gateway Exchange Protocol and the </w:t>
      </w:r>
      <w:r w:rsidRPr="00DF72F9">
        <w:t xml:space="preserve">Streaming Telemetry Transport Protocol </w:t>
      </w:r>
      <w:r>
        <w:t xml:space="preserve">(on track to become IEEE 2664) were </w:t>
      </w:r>
      <w:r w:rsidRPr="00DF72F9">
        <w:t xml:space="preserve">developed </w:t>
      </w:r>
      <w:r>
        <w:t xml:space="preserve">by GPA </w:t>
      </w:r>
      <w:r w:rsidRPr="00DF72F9">
        <w:t xml:space="preserve">through DOE </w:t>
      </w:r>
      <w:r>
        <w:t xml:space="preserve">funded efforts </w:t>
      </w:r>
      <w:r w:rsidRPr="00DF72F9">
        <w:t xml:space="preserve">for </w:t>
      </w:r>
      <w:r>
        <w:t xml:space="preserve">the exchange of streaming time-series </w:t>
      </w:r>
      <w:r w:rsidRPr="00DF72F9">
        <w:t>data</w:t>
      </w:r>
      <w:r>
        <w:t xml:space="preserve"> and associated metadata using </w:t>
      </w:r>
      <w:r w:rsidRPr="00DF72F9">
        <w:t xml:space="preserve">publish-subscribe </w:t>
      </w:r>
      <w:r>
        <w:t>methodologies and data compression techniques.</w:t>
      </w:r>
    </w:p>
    <w:p w14:paraId="666EA392" w14:textId="77777777" w:rsidR="003E4E58" w:rsidRDefault="003E4E58" w:rsidP="001D2EBB">
      <w:pPr>
        <w:pStyle w:val="bodybullet"/>
        <w:keepLines/>
      </w:pPr>
      <w:r w:rsidRPr="00B223FF">
        <w:rPr>
          <w:b/>
          <w:bCs/>
        </w:rPr>
        <w:lastRenderedPageBreak/>
        <w:t>Project Alpha</w:t>
      </w:r>
      <w:r>
        <w:t xml:space="preserve"> – </w:t>
      </w:r>
      <w:r w:rsidRPr="004D04CC">
        <w:t xml:space="preserve">Project Alpha is a </w:t>
      </w:r>
      <w:r>
        <w:t xml:space="preserve">complete application </w:t>
      </w:r>
      <w:r w:rsidRPr="004D04CC">
        <w:t xml:space="preserve">solution </w:t>
      </w:r>
      <w:r>
        <w:t xml:space="preserve">template for creating a time-series processing application based on </w:t>
      </w:r>
      <w:r w:rsidRPr="004D04CC">
        <w:t>GPA's Grid Solutions Framework. Project Alpha is designed to speed development</w:t>
      </w:r>
      <w:r>
        <w:t xml:space="preserve">, </w:t>
      </w:r>
      <w:r w:rsidRPr="004D04CC">
        <w:t xml:space="preserve">debugging </w:t>
      </w:r>
      <w:r>
        <w:t xml:space="preserve">and deployment </w:t>
      </w:r>
      <w:r w:rsidRPr="004D04CC">
        <w:t xml:space="preserve">of new real-time </w:t>
      </w:r>
      <w:r>
        <w:t xml:space="preserve">streaming data </w:t>
      </w:r>
      <w:r w:rsidRPr="004D04CC">
        <w:t>analytic</w:t>
      </w:r>
      <w:r>
        <w:t xml:space="preserve"> applications built as plugin adapters</w:t>
      </w:r>
      <w:r w:rsidRPr="004D04CC">
        <w:t>.</w:t>
      </w:r>
    </w:p>
    <w:p w14:paraId="3D8611B9" w14:textId="77777777" w:rsidR="003E4E58" w:rsidRDefault="003E4E58" w:rsidP="001D2EBB">
      <w:pPr>
        <w:pStyle w:val="bodybullet"/>
        <w:keepLines/>
      </w:pPr>
      <w:r w:rsidRPr="00B223FF">
        <w:rPr>
          <w:b/>
          <w:bCs/>
        </w:rPr>
        <w:t>openECA</w:t>
      </w:r>
      <w:r>
        <w:t xml:space="preserve"> – The open and Extensible Control &amp; Analytics platform is a DOE funded system designed to </w:t>
      </w:r>
      <w:r w:rsidRPr="00B469D8">
        <w:t>reduce the cost and accelerate the development</w:t>
      </w:r>
      <w:r>
        <w:t xml:space="preserve"> and deployment</w:t>
      </w:r>
      <w:r w:rsidRPr="00B469D8">
        <w:t xml:space="preserve"> of </w:t>
      </w:r>
      <w:r>
        <w:t xml:space="preserve">data analytics, </w:t>
      </w:r>
      <w:r w:rsidRPr="00B469D8">
        <w:t xml:space="preserve">real-time decision support tools, automated control systems and off-line planning systems that incorporate </w:t>
      </w:r>
      <w:r>
        <w:t>streaming time-series data, e.g., synchro</w:t>
      </w:r>
      <w:r w:rsidRPr="00B469D8">
        <w:t>phasor data.</w:t>
      </w:r>
    </w:p>
    <w:p w14:paraId="5B62BF72" w14:textId="77777777" w:rsidR="003E4E58" w:rsidRDefault="003E4E58" w:rsidP="001D2EBB">
      <w:pPr>
        <w:pStyle w:val="bodybullet"/>
        <w:keepLines/>
      </w:pPr>
      <w:r w:rsidRPr="00B223FF">
        <w:rPr>
          <w:b/>
          <w:bCs/>
        </w:rPr>
        <w:t>Historian Data Walker</w:t>
      </w:r>
      <w:r>
        <w:t xml:space="preserve"> – </w:t>
      </w:r>
      <w:r w:rsidRPr="00B469D8">
        <w:t xml:space="preserve">This </w:t>
      </w:r>
      <w:r>
        <w:t xml:space="preserve">tool is an offline </w:t>
      </w:r>
      <w:r w:rsidRPr="00B469D8">
        <w:t xml:space="preserve">application </w:t>
      </w:r>
      <w:r>
        <w:t xml:space="preserve">designed to </w:t>
      </w:r>
      <w:r w:rsidRPr="00B469D8">
        <w:t xml:space="preserve">run through an openHistorian </w:t>
      </w:r>
      <w:r>
        <w:t xml:space="preserve">2.0 </w:t>
      </w:r>
      <w:r w:rsidRPr="00B469D8">
        <w:t xml:space="preserve">archive </w:t>
      </w:r>
      <w:r>
        <w:t xml:space="preserve">at high-speed over </w:t>
      </w:r>
      <w:r w:rsidRPr="00B469D8">
        <w:t xml:space="preserve">a </w:t>
      </w:r>
      <w:r>
        <w:t xml:space="preserve">provided </w:t>
      </w:r>
      <w:r w:rsidRPr="00B469D8">
        <w:t xml:space="preserve">time range and </w:t>
      </w:r>
      <w:r>
        <w:t xml:space="preserve">requested </w:t>
      </w:r>
      <w:r w:rsidRPr="00B469D8">
        <w:t xml:space="preserve">set of </w:t>
      </w:r>
      <w:r>
        <w:t>data,</w:t>
      </w:r>
      <w:r w:rsidRPr="00B469D8">
        <w:t xml:space="preserve"> operating on </w:t>
      </w:r>
      <w:r>
        <w:t>the queried results in time-sorted order</w:t>
      </w:r>
      <w:r w:rsidRPr="00B469D8">
        <w:t xml:space="preserve"> with a </w:t>
      </w:r>
      <w:r>
        <w:t>user supplied</w:t>
      </w:r>
      <w:r w:rsidRPr="00B469D8">
        <w:t xml:space="preserve"> </w:t>
      </w:r>
      <w:r>
        <w:t>algorithm or function</w:t>
      </w:r>
      <w:r w:rsidRPr="00B469D8">
        <w:t>.</w:t>
      </w:r>
    </w:p>
    <w:p w14:paraId="76575F10" w14:textId="77777777" w:rsidR="003E4E58" w:rsidRDefault="003E4E58" w:rsidP="001D2EBB">
      <w:pPr>
        <w:pStyle w:val="bodybullet"/>
        <w:keepLines/>
      </w:pPr>
      <w:r w:rsidRPr="00B223FF">
        <w:rPr>
          <w:b/>
          <w:bCs/>
        </w:rPr>
        <w:t>PDQ Tracker</w:t>
      </w:r>
      <w:r>
        <w:t xml:space="preserve"> – The Phasor Data Quality Alarming and Reporting system</w:t>
      </w:r>
      <w:r w:rsidRPr="009B4867">
        <w:t xml:space="preserve"> is a high-performance, real-time data processing engine designed to raise alarms, track states, store statistics, and generate reports on both the availability and accuracy of streaming </w:t>
      </w:r>
      <w:r>
        <w:t xml:space="preserve">time-series data, e.g., </w:t>
      </w:r>
      <w:r w:rsidRPr="009B4867">
        <w:t xml:space="preserve">synchrophasor data. </w:t>
      </w:r>
      <w:r>
        <w:t xml:space="preserve">Working </w:t>
      </w:r>
      <w:r w:rsidRPr="009B4867">
        <w:t>with any vendor’s PDC and synchrophasor infrastructure</w:t>
      </w:r>
      <w:r>
        <w:t>,</w:t>
      </w:r>
      <w:r w:rsidRPr="009B4867">
        <w:t xml:space="preserve"> </w:t>
      </w:r>
      <w:r>
        <w:t xml:space="preserve">the tool </w:t>
      </w:r>
      <w:r w:rsidRPr="009B4867">
        <w:t>produce</w:t>
      </w:r>
      <w:r>
        <w:t>s</w:t>
      </w:r>
      <w:r w:rsidRPr="009B4867">
        <w:t xml:space="preserve"> periodic reports on data completeness and correctness; creat</w:t>
      </w:r>
      <w:r>
        <w:t>ing</w:t>
      </w:r>
      <w:r w:rsidRPr="009B4867">
        <w:t xml:space="preserve"> emails </w:t>
      </w:r>
      <w:r>
        <w:t xml:space="preserve">when </w:t>
      </w:r>
      <w:r w:rsidRPr="009B4867">
        <w:t>data quality problems are detected.</w:t>
      </w:r>
    </w:p>
    <w:p w14:paraId="10E6E32C" w14:textId="77777777" w:rsidR="003E4E58" w:rsidRDefault="003E4E58" w:rsidP="001D2EBB">
      <w:pPr>
        <w:pStyle w:val="bodybullet"/>
        <w:keepLines/>
      </w:pPr>
      <w:proofErr w:type="spellStart"/>
      <w:r w:rsidRPr="00B223FF">
        <w:rPr>
          <w:b/>
          <w:bCs/>
        </w:rPr>
        <w:t>PTPSync</w:t>
      </w:r>
      <w:proofErr w:type="spellEnd"/>
      <w:r>
        <w:t xml:space="preserve"> – The </w:t>
      </w:r>
      <w:r w:rsidRPr="00F657E2">
        <w:t xml:space="preserve">Precision Time Protocol </w:t>
      </w:r>
      <w:r>
        <w:t xml:space="preserve">(PTP) </w:t>
      </w:r>
      <w:r w:rsidRPr="00F657E2">
        <w:t xml:space="preserve">Synchronization Service </w:t>
      </w:r>
      <w:r>
        <w:t xml:space="preserve">is a Window service application that implements </w:t>
      </w:r>
      <w:r w:rsidRPr="00F657E2">
        <w:t>PTP</w:t>
      </w:r>
      <w:r>
        <w:t>, as</w:t>
      </w:r>
      <w:r w:rsidRPr="00F657E2">
        <w:t xml:space="preserve"> defined in IEEE 1588</w:t>
      </w:r>
      <w:r>
        <w:t>,</w:t>
      </w:r>
      <w:r w:rsidRPr="00F657E2">
        <w:t xml:space="preserve"> to synchronize clocks over a network</w:t>
      </w:r>
      <w:r>
        <w:t xml:space="preserve"> </w:t>
      </w:r>
      <w:r w:rsidRPr="00F657E2">
        <w:t>in the sub-microsecond range</w:t>
      </w:r>
      <w:r>
        <w:t>. The high accuracy</w:t>
      </w:r>
      <w:r w:rsidRPr="00F657E2">
        <w:t xml:space="preserve"> </w:t>
      </w:r>
      <w:r>
        <w:t xml:space="preserve">makes the service ideal for synchronizing clocks </w:t>
      </w:r>
      <w:r w:rsidRPr="00F657E2">
        <w:t>for time-sensitive systems like the openPDC and substationSBG.</w:t>
      </w:r>
    </w:p>
    <w:p w14:paraId="04A5DA4B" w14:textId="56EC3CBD" w:rsidR="003E4E58" w:rsidRDefault="003E4E58" w:rsidP="001D2EBB">
      <w:pPr>
        <w:pStyle w:val="bodybullet"/>
        <w:keepLines/>
      </w:pPr>
      <w:r w:rsidRPr="00B223FF">
        <w:rPr>
          <w:b/>
          <w:bCs/>
        </w:rPr>
        <w:t>PMU Connection Tester</w:t>
      </w:r>
      <w:r>
        <w:t xml:space="preserve"> – Used universally in the power industry, t</w:t>
      </w:r>
      <w:r w:rsidRPr="00DA1B05">
        <w:t xml:space="preserve">he </w:t>
      </w:r>
      <w:r>
        <w:t xml:space="preserve">Phasor Measurement Unit </w:t>
      </w:r>
      <w:r w:rsidRPr="00DA1B05">
        <w:t xml:space="preserve">Connection Tester </w:t>
      </w:r>
      <w:r>
        <w:t xml:space="preserve">is </w:t>
      </w:r>
      <w:r w:rsidRPr="00DA1B05">
        <w:t>used to validate, test and troubleshoot connections and data streams from phasor measurement devices</w:t>
      </w:r>
      <w:r>
        <w:t xml:space="preserve"> as well as </w:t>
      </w:r>
      <w:r w:rsidRPr="00DA1B05">
        <w:t xml:space="preserve">graphically visualize </w:t>
      </w:r>
      <w:r>
        <w:t xml:space="preserve">the received </w:t>
      </w:r>
      <w:r w:rsidRPr="00DA1B05">
        <w:t>synch</w:t>
      </w:r>
      <w:r>
        <w:t>r</w:t>
      </w:r>
      <w:r w:rsidRPr="00DA1B05">
        <w:t xml:space="preserve">ophasor data in real‐time. </w:t>
      </w:r>
      <w:r>
        <w:t xml:space="preserve">Most all </w:t>
      </w:r>
      <w:r w:rsidRPr="00DA1B05">
        <w:t xml:space="preserve">phasor data protocols </w:t>
      </w:r>
      <w:r>
        <w:t>are supported</w:t>
      </w:r>
      <w:r w:rsidRPr="00DA1B05">
        <w:t>.</w:t>
      </w:r>
    </w:p>
    <w:p w14:paraId="69B41169" w14:textId="35D384D6" w:rsidR="003E4E58" w:rsidRDefault="003E4E58" w:rsidP="001D2EBB">
      <w:pPr>
        <w:pStyle w:val="bodybullet"/>
        <w:keepLines/>
      </w:pPr>
      <w:r w:rsidRPr="00B223FF">
        <w:rPr>
          <w:b/>
          <w:bCs/>
        </w:rPr>
        <w:t>STTP Connection Tester</w:t>
      </w:r>
      <w:r>
        <w:t xml:space="preserve"> – </w:t>
      </w:r>
      <w:r w:rsidRPr="000854C9">
        <w:t xml:space="preserve">The </w:t>
      </w:r>
      <w:r w:rsidRPr="00DF72F9">
        <w:t xml:space="preserve">Streaming Telemetry Transport Protocol </w:t>
      </w:r>
      <w:r w:rsidRPr="000854C9">
        <w:t>Connection Tester is used to validate that a subscription</w:t>
      </w:r>
      <w:r>
        <w:t>-</w:t>
      </w:r>
      <w:r w:rsidRPr="000854C9">
        <w:t xml:space="preserve">based connection </w:t>
      </w:r>
      <w:r>
        <w:t xml:space="preserve">using STTP </w:t>
      </w:r>
      <w:r w:rsidRPr="000854C9">
        <w:t>is working as expected. It can also be used to validate filter expressions that can be used to select a set of points in hosted STTP publishers.</w:t>
      </w:r>
    </w:p>
    <w:p w14:paraId="0E9BE893" w14:textId="0E361949" w:rsidR="00060D63" w:rsidRDefault="00060D63" w:rsidP="00060D63">
      <w:pPr>
        <w:pStyle w:val="bodybullet"/>
        <w:numPr>
          <w:ilvl w:val="0"/>
          <w:numId w:val="0"/>
        </w:numPr>
        <w:ind w:left="720"/>
        <w:rPr>
          <w:b/>
          <w:bCs/>
        </w:rPr>
      </w:pPr>
    </w:p>
    <w:p w14:paraId="4C74BCBE" w14:textId="032E89FA" w:rsidR="001D2EBB" w:rsidRDefault="001D2EBB">
      <w:pPr>
        <w:rPr>
          <w:rFonts w:ascii="Calibri" w:hAnsi="Calibri" w:cstheme="minorHAnsi"/>
          <w:b/>
          <w:bCs/>
        </w:rPr>
      </w:pPr>
      <w:r>
        <w:rPr>
          <w:b/>
          <w:bCs/>
        </w:rPr>
        <w:br w:type="page"/>
      </w:r>
    </w:p>
    <w:p w14:paraId="3C0CE2C1" w14:textId="44A6062C" w:rsidR="003E4E58" w:rsidRDefault="003E4E58" w:rsidP="003E4E58">
      <w:pPr>
        <w:pStyle w:val="Body"/>
      </w:pPr>
      <w:r>
        <w:lastRenderedPageBreak/>
        <w:t xml:space="preserve">GPA’s </w:t>
      </w:r>
      <w:r w:rsidRPr="00A64CCF">
        <w:t>disturbance monitoring products</w:t>
      </w:r>
      <w:r>
        <w:t xml:space="preserve"> are shown in Figure 4.</w:t>
      </w:r>
    </w:p>
    <w:p w14:paraId="30479DF4" w14:textId="77777777" w:rsidR="001D2EBB" w:rsidRDefault="001D2EBB" w:rsidP="003E4E58">
      <w:pPr>
        <w:pStyle w:val="Body"/>
      </w:pPr>
    </w:p>
    <w:p w14:paraId="5563D862" w14:textId="77777777" w:rsidR="003E4E58" w:rsidRDefault="003E4E58" w:rsidP="003E4E58">
      <w:pPr>
        <w:pStyle w:val="figure"/>
      </w:pPr>
      <w:r>
        <w:drawing>
          <wp:inline distT="0" distB="0" distL="0" distR="0" wp14:anchorId="3B2BF103" wp14:editId="1FC9C40D">
            <wp:extent cx="547687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875" cy="2038350"/>
                    </a:xfrm>
                    <a:prstGeom prst="rect">
                      <a:avLst/>
                    </a:prstGeom>
                    <a:noFill/>
                    <a:ln>
                      <a:noFill/>
                    </a:ln>
                  </pic:spPr>
                </pic:pic>
              </a:graphicData>
            </a:graphic>
          </wp:inline>
        </w:drawing>
      </w:r>
    </w:p>
    <w:p w14:paraId="7271125F" w14:textId="77777777" w:rsidR="003E4E58" w:rsidRDefault="003E4E58" w:rsidP="003E4E58">
      <w:pPr>
        <w:pStyle w:val="FigureDesc"/>
      </w:pPr>
      <w:r>
        <w:t>Figure 4. GPA’s Disturbance Monitoring and Power Quality Products</w:t>
      </w:r>
    </w:p>
    <w:p w14:paraId="76DAC07E" w14:textId="77777777" w:rsidR="003E4E58" w:rsidRDefault="003E4E58" w:rsidP="003E4E58">
      <w:pPr>
        <w:pStyle w:val="FigureDesc"/>
      </w:pPr>
    </w:p>
    <w:p w14:paraId="411796E3" w14:textId="77777777" w:rsidR="003E4E58" w:rsidRDefault="003E4E58" w:rsidP="001D2EBB">
      <w:pPr>
        <w:pStyle w:val="bodybullet"/>
        <w:keepLines/>
      </w:pPr>
      <w:r w:rsidRPr="00B223FF">
        <w:rPr>
          <w:b/>
          <w:bCs/>
        </w:rPr>
        <w:t>openMIC</w:t>
      </w:r>
      <w:r>
        <w:t xml:space="preserve"> – The open source Meter Information Collector downloads data from DFRs and other substation devices, polling these field devices on a user-defined schedule and organizing the downloaded data into a user customizable folder structure. openMIC is capable of interrogating multiple substation devices simultaneously via IP or Modem (RAS &amp; FTP). Administrators define schedules (including as-fast-as-possible) and specify the output location for data on a device-by-device basis.</w:t>
      </w:r>
    </w:p>
    <w:p w14:paraId="410458B5" w14:textId="039DD4B0" w:rsidR="003E4E58" w:rsidRDefault="003E4E58" w:rsidP="001D2EBB">
      <w:pPr>
        <w:pStyle w:val="bodybullet"/>
        <w:keepLines/>
      </w:pPr>
      <w:r w:rsidRPr="00B223FF">
        <w:rPr>
          <w:b/>
          <w:bCs/>
        </w:rPr>
        <w:t>openXDA</w:t>
      </w:r>
      <w:r>
        <w:t xml:space="preserve"> – </w:t>
      </w:r>
      <w:r w:rsidRPr="008345F8">
        <w:t xml:space="preserve">The </w:t>
      </w:r>
      <w:proofErr w:type="spellStart"/>
      <w:r w:rsidRPr="008345F8">
        <w:t>eXtensible</w:t>
      </w:r>
      <w:proofErr w:type="spellEnd"/>
      <w:r w:rsidRPr="008345F8">
        <w:t xml:space="preserve"> Disturbance Analytics application automatically processes and analyze</w:t>
      </w:r>
      <w:r>
        <w:t>s</w:t>
      </w:r>
      <w:r w:rsidRPr="008345F8">
        <w:t xml:space="preserve"> event files from disturbance monitoring equipment such as DFRs and power quality monitors. </w:t>
      </w:r>
      <w:r>
        <w:t xml:space="preserve">Supporting </w:t>
      </w:r>
      <w:r w:rsidRPr="008345F8">
        <w:t>industry standard formats such as COMTRADE and PQDIF as well as many native vendor-specific formats</w:t>
      </w:r>
      <w:r>
        <w:t xml:space="preserve">, </w:t>
      </w:r>
      <w:r w:rsidRPr="008345F8">
        <w:t>openXDA runs as a back-office service watching for new event files or changes in event data within meter polling databases. openXDA produces emails and raises alarms based on meter data quality and/or the nature of the system event that triggered the meter. Among the automated analytics included are single</w:t>
      </w:r>
      <w:r w:rsidR="00A12CF2">
        <w:t>-</w:t>
      </w:r>
      <w:r w:rsidRPr="008345F8">
        <w:t xml:space="preserve"> and doubled-ended fault location and breaker timing.</w:t>
      </w:r>
    </w:p>
    <w:p w14:paraId="5ECBF437" w14:textId="77777777" w:rsidR="003E4E58" w:rsidRDefault="003E4E58" w:rsidP="001D2EBB">
      <w:pPr>
        <w:pStyle w:val="bodybullet"/>
        <w:keepLines/>
      </w:pPr>
      <w:r w:rsidRPr="00B223FF">
        <w:rPr>
          <w:b/>
          <w:bCs/>
        </w:rPr>
        <w:t>openXDA System Center</w:t>
      </w:r>
      <w:r>
        <w:t xml:space="preserve"> – While not shown separately from openXDA in Figure 4, this web-based </w:t>
      </w:r>
      <w:r w:rsidRPr="008345F8">
        <w:t xml:space="preserve">tool </w:t>
      </w:r>
      <w:r>
        <w:t xml:space="preserve">is used to manage </w:t>
      </w:r>
      <w:r w:rsidRPr="008345F8">
        <w:t xml:space="preserve">configuration and metadata for </w:t>
      </w:r>
      <w:r>
        <w:t>o</w:t>
      </w:r>
      <w:r w:rsidRPr="008345F8">
        <w:t xml:space="preserve">penXDA, PQDashboard, OpenMIC, </w:t>
      </w:r>
      <w:r>
        <w:t xml:space="preserve">and </w:t>
      </w:r>
      <w:r w:rsidRPr="008345F8">
        <w:t>any future disturbance product</w:t>
      </w:r>
      <w:r>
        <w:t xml:space="preserve">. The tool also integrates data from </w:t>
      </w:r>
      <w:r w:rsidRPr="008345F8">
        <w:t xml:space="preserve">other external </w:t>
      </w:r>
      <w:r>
        <w:t xml:space="preserve">configuration sources, e.g., </w:t>
      </w:r>
      <w:r w:rsidRPr="008345F8">
        <w:t>Maximo</w:t>
      </w:r>
      <w:r>
        <w:t xml:space="preserve"> and</w:t>
      </w:r>
      <w:r w:rsidRPr="008345F8">
        <w:t xml:space="preserve"> PQView.</w:t>
      </w:r>
    </w:p>
    <w:p w14:paraId="5164C15D" w14:textId="507617F7" w:rsidR="003E4E58" w:rsidRDefault="003E4E58" w:rsidP="001D2EBB">
      <w:pPr>
        <w:pStyle w:val="bodybullet"/>
        <w:keepLines/>
      </w:pPr>
      <w:r w:rsidRPr="00B223FF">
        <w:rPr>
          <w:b/>
          <w:bCs/>
        </w:rPr>
        <w:t>dD Tools</w:t>
      </w:r>
      <w:r>
        <w:t xml:space="preserve"> – </w:t>
      </w:r>
      <w:r w:rsidRPr="008345F8">
        <w:t xml:space="preserve">The openXDA service includes a self-hosted web site where the Disturbance Data Tools (dD Tools) application is hosted. These web-based displays include openXDA and </w:t>
      </w:r>
      <w:r w:rsidR="0086062D">
        <w:t xml:space="preserve">Open </w:t>
      </w:r>
      <w:r w:rsidRPr="008345F8">
        <w:t>PQ Dashboard configuration pages and well as data editing and visualization pages.</w:t>
      </w:r>
    </w:p>
    <w:p w14:paraId="215AEF65" w14:textId="3C0895B3" w:rsidR="003E4E58" w:rsidRDefault="003E4E58" w:rsidP="001D2EBB">
      <w:pPr>
        <w:pStyle w:val="bodybullet"/>
        <w:keepLines/>
      </w:pPr>
      <w:r w:rsidRPr="00B223FF">
        <w:rPr>
          <w:b/>
          <w:bCs/>
        </w:rPr>
        <w:t>openEAS</w:t>
      </w:r>
      <w:r>
        <w:t xml:space="preserve"> – The Extended Analytic Services for openXDA is a Visual Studio development template for a Windows Service that embeds externally developed code libraries, e.g., a DLL produced from </w:t>
      </w:r>
      <w:proofErr w:type="spellStart"/>
      <w:r>
        <w:t>MatLab</w:t>
      </w:r>
      <w:proofErr w:type="spellEnd"/>
      <w:r>
        <w:t>, within a sandboxed platform that obtains input data from openXDA and stores analytic results to openXDA for display in other tools.</w:t>
      </w:r>
    </w:p>
    <w:p w14:paraId="389EAAAB" w14:textId="77777777" w:rsidR="003E4E58" w:rsidRDefault="003E4E58" w:rsidP="001D2EBB">
      <w:pPr>
        <w:pStyle w:val="bodybullet"/>
        <w:keepLines/>
      </w:pPr>
      <w:r w:rsidRPr="00B223FF">
        <w:rPr>
          <w:b/>
          <w:bCs/>
        </w:rPr>
        <w:lastRenderedPageBreak/>
        <w:t>openSEE</w:t>
      </w:r>
      <w:r>
        <w:t xml:space="preserve"> – The open source System Event Explorer</w:t>
      </w:r>
      <w:r w:rsidRPr="00867E93">
        <w:t xml:space="preserve"> is a browser-based waveform display tool that is used to view waveforms and investigate events that are stored in the openXDA database. </w:t>
      </w:r>
      <w:r w:rsidRPr="0073145B">
        <w:t xml:space="preserve">openSEE can display multiple waveforms simultaneously. A phasor data windows is available so that users can easily resolve phase angles. </w:t>
      </w:r>
      <w:r>
        <w:t xml:space="preserve">The system </w:t>
      </w:r>
      <w:r w:rsidRPr="00867E93">
        <w:t>is URL-driven so that a link to openSEE can be embedded in emails to enable recipients to view the same display</w:t>
      </w:r>
      <w:r>
        <w:t xml:space="preserve"> </w:t>
      </w:r>
      <w:r w:rsidRPr="00867E93">
        <w:t>as seen by the sender</w:t>
      </w:r>
      <w:r>
        <w:t xml:space="preserve">, including current </w:t>
      </w:r>
      <w:r w:rsidRPr="00867E93">
        <w:t>zoom level and analytic.</w:t>
      </w:r>
    </w:p>
    <w:p w14:paraId="3A0625B5" w14:textId="538BCB06" w:rsidR="003E4E58" w:rsidRDefault="00E254C8" w:rsidP="001D2EBB">
      <w:pPr>
        <w:pStyle w:val="bodybullet"/>
        <w:keepLines/>
      </w:pPr>
      <w:r>
        <w:rPr>
          <w:b/>
          <w:bCs/>
        </w:rPr>
        <w:t xml:space="preserve">Open </w:t>
      </w:r>
      <w:r w:rsidR="003E4E58" w:rsidRPr="00B223FF">
        <w:rPr>
          <w:b/>
          <w:bCs/>
        </w:rPr>
        <w:t>PQ Dashboard</w:t>
      </w:r>
      <w:r w:rsidR="003E4E58">
        <w:t xml:space="preserve"> – </w:t>
      </w:r>
      <w:r w:rsidR="003E4E58" w:rsidRPr="00C613A7">
        <w:t xml:space="preserve">The </w:t>
      </w:r>
      <w:r w:rsidR="00361892">
        <w:t>Open PQ (</w:t>
      </w:r>
      <w:r w:rsidR="003E4E58">
        <w:t>Power Quality</w:t>
      </w:r>
      <w:r w:rsidR="00361892">
        <w:t>)</w:t>
      </w:r>
      <w:r w:rsidR="003E4E58">
        <w:t xml:space="preserve"> </w:t>
      </w:r>
      <w:r w:rsidR="003E4E58" w:rsidRPr="00C613A7">
        <w:t>Dashboard is a web-based, enterprise information center for disturbance data</w:t>
      </w:r>
      <w:r w:rsidR="003E4E58">
        <w:t xml:space="preserve"> which provided </w:t>
      </w:r>
      <w:r w:rsidR="003E4E58" w:rsidRPr="00C613A7">
        <w:t xml:space="preserve">displays to quickly find and understand disturbances on the electric system. The </w:t>
      </w:r>
      <w:r>
        <w:t xml:space="preserve">Open </w:t>
      </w:r>
      <w:r w:rsidR="003E4E58" w:rsidRPr="00C613A7">
        <w:t>PQ Dashboard is the visualization layer for data contained in the openXDA database.</w:t>
      </w:r>
      <w:r w:rsidR="003E4E58">
        <w:t xml:space="preserve"> </w:t>
      </w:r>
      <w:r w:rsidR="003E4E58" w:rsidRPr="00C613A7">
        <w:t>Dashboard displays include geospatial map-view</w:t>
      </w:r>
      <w:r w:rsidR="003E4E58">
        <w:t>s</w:t>
      </w:r>
      <w:r w:rsidR="003E4E58" w:rsidRPr="00C613A7">
        <w:t xml:space="preserve"> </w:t>
      </w:r>
      <w:r w:rsidR="003E4E58">
        <w:t>and highly discernable</w:t>
      </w:r>
      <w:r w:rsidR="003E4E58" w:rsidRPr="00C613A7">
        <w:t xml:space="preserve"> annunciator panel</w:t>
      </w:r>
      <w:r w:rsidR="003E4E58">
        <w:t>s</w:t>
      </w:r>
      <w:r w:rsidR="003E4E58" w:rsidRPr="00C613A7">
        <w:t xml:space="preserve"> for operation center</w:t>
      </w:r>
      <w:r w:rsidR="003E4E58">
        <w:t>s</w:t>
      </w:r>
      <w:r w:rsidR="003E4E58" w:rsidRPr="00C613A7">
        <w:t>.</w:t>
      </w:r>
    </w:p>
    <w:p w14:paraId="18E16474" w14:textId="73E952E7" w:rsidR="003E4E58" w:rsidRDefault="003E4E58" w:rsidP="001D2EBB">
      <w:pPr>
        <w:pStyle w:val="bodybullet"/>
        <w:keepLines/>
      </w:pPr>
      <w:r w:rsidRPr="00B223FF">
        <w:rPr>
          <w:b/>
          <w:bCs/>
        </w:rPr>
        <w:t>SE Browser</w:t>
      </w:r>
      <w:r>
        <w:t xml:space="preserve"> – The System Event Browser is a web-based tool </w:t>
      </w:r>
      <w:r w:rsidRPr="00A95A81">
        <w:t>waveform display and analytics tool used to view summaries of disturbance data recorded by DFRs, Power Quality meters, relays and other substation devices that are stored in openXDA.</w:t>
      </w:r>
      <w:r>
        <w:t xml:space="preserve"> This </w:t>
      </w:r>
      <w:r w:rsidRPr="00A95A81">
        <w:t>tool compliment</w:t>
      </w:r>
      <w:r>
        <w:t xml:space="preserve">s </w:t>
      </w:r>
      <w:r w:rsidRPr="00A95A81">
        <w:t xml:space="preserve">the </w:t>
      </w:r>
      <w:r w:rsidR="00E254C8">
        <w:t xml:space="preserve">Open </w:t>
      </w:r>
      <w:r w:rsidRPr="00A95A81">
        <w:t xml:space="preserve">PQ Dashboard </w:t>
      </w:r>
      <w:r>
        <w:t xml:space="preserve">with </w:t>
      </w:r>
      <w:r w:rsidRPr="00A95A81">
        <w:t>a list</w:t>
      </w:r>
      <w:r>
        <w:t>-</w:t>
      </w:r>
      <w:r w:rsidRPr="00A95A81">
        <w:t xml:space="preserve">based view into event data instead </w:t>
      </w:r>
      <w:r>
        <w:t xml:space="preserve">of </w:t>
      </w:r>
      <w:r w:rsidRPr="00A95A81">
        <w:t>aggregated</w:t>
      </w:r>
      <w:r>
        <w:t>-</w:t>
      </w:r>
      <w:r w:rsidRPr="00A95A81">
        <w:t>view</w:t>
      </w:r>
      <w:r>
        <w:t>s</w:t>
      </w:r>
      <w:r w:rsidRPr="00A95A81">
        <w:t xml:space="preserve"> </w:t>
      </w:r>
      <w:r>
        <w:t xml:space="preserve">as </w:t>
      </w:r>
      <w:r w:rsidRPr="00A95A81">
        <w:t xml:space="preserve">provided in </w:t>
      </w:r>
      <w:r w:rsidR="00EB6983">
        <w:t xml:space="preserve">the </w:t>
      </w:r>
      <w:r w:rsidR="00E254C8">
        <w:t xml:space="preserve">Open </w:t>
      </w:r>
      <w:r w:rsidRPr="00A95A81">
        <w:t>PQ Dashboard.</w:t>
      </w:r>
    </w:p>
    <w:p w14:paraId="19D7657F" w14:textId="77777777" w:rsidR="003E4E58" w:rsidRDefault="003E4E58" w:rsidP="003E4E58">
      <w:pPr>
        <w:pStyle w:val="bodybullet"/>
        <w:numPr>
          <w:ilvl w:val="0"/>
          <w:numId w:val="0"/>
        </w:numPr>
        <w:ind w:left="720"/>
      </w:pPr>
    </w:p>
    <w:p w14:paraId="775D8B2E" w14:textId="77777777" w:rsidR="003E4E58" w:rsidRDefault="003E4E58" w:rsidP="003E4E58">
      <w:pPr>
        <w:pStyle w:val="Body"/>
      </w:pPr>
      <w:r>
        <w:t xml:space="preserve">The </w:t>
      </w:r>
      <w:r w:rsidRPr="0057570E">
        <w:rPr>
          <w:b/>
          <w:bCs/>
        </w:rPr>
        <w:t>openHistorian</w:t>
      </w:r>
      <w:r>
        <w:t xml:space="preserve"> is a GPA solution that spans both GPA product lines. </w:t>
      </w:r>
      <w:r w:rsidRPr="0007016F">
        <w:t xml:space="preserve">The openHistorian is a back-office system designed to efficiently archive SCADA, synchrophasor and other </w:t>
      </w:r>
      <w:r>
        <w:t xml:space="preserve">time-series </w:t>
      </w:r>
      <w:r w:rsidRPr="0007016F">
        <w:t>process control data to support real-time grid operations and post-operation analysis.</w:t>
      </w:r>
    </w:p>
    <w:p w14:paraId="5AB15FF1" w14:textId="77777777" w:rsidR="003E4E58" w:rsidRDefault="003E4E58" w:rsidP="003E4E58">
      <w:pPr>
        <w:pStyle w:val="Body"/>
      </w:pPr>
      <w:r w:rsidRPr="0007016F">
        <w:t xml:space="preserve">The openHistorian is optimized to store large volumes of time-stamped data quickly and efficiently. </w:t>
      </w:r>
      <w:r>
        <w:t xml:space="preserve">While it is API compatible with TVA’s internally developed DatAWare historian, the engine in the GPA openHistorian was completely re-written by GPA in 2014. The new openHistorian data storage engine is based on a B+ Tree and has been observed to have significantly better performance, for both reads and writes, than DatAWare, eDNA or </w:t>
      </w:r>
      <w:proofErr w:type="spellStart"/>
      <w:r>
        <w:t>OSIsoft</w:t>
      </w:r>
      <w:proofErr w:type="spellEnd"/>
      <w:r>
        <w:t xml:space="preserve"> PI.</w:t>
      </w:r>
    </w:p>
    <w:p w14:paraId="61BA80AF" w14:textId="7EEA2F3A" w:rsidR="003E4E58" w:rsidRDefault="003E4E58" w:rsidP="003E4E58">
      <w:pPr>
        <w:pStyle w:val="Body"/>
      </w:pPr>
      <w:r>
        <w:t>T</w:t>
      </w:r>
      <w:r w:rsidRPr="0007016F">
        <w:t xml:space="preserve">he openHistorian implements lossless data compression resulting in small data storage requirements while retaining all the nuances in the data. </w:t>
      </w:r>
      <w:r>
        <w:t>L</w:t>
      </w:r>
      <w:r w:rsidRPr="0007016F">
        <w:t xml:space="preserve">ossless compression rates vary based on the nature of the processes monitored, </w:t>
      </w:r>
      <w:r>
        <w:t xml:space="preserve">but </w:t>
      </w:r>
      <w:r w:rsidRPr="0007016F">
        <w:t>as a rule of thumb</w:t>
      </w:r>
      <w:r>
        <w:t>,</w:t>
      </w:r>
      <w:r w:rsidRPr="0007016F">
        <w:t xml:space="preserve"> about 424 million floating point values are saved per </w:t>
      </w:r>
      <w:r>
        <w:t>Gigabyte</w:t>
      </w:r>
      <w:r w:rsidRPr="0007016F">
        <w:t xml:space="preserve"> of storage.</w:t>
      </w:r>
    </w:p>
    <w:p w14:paraId="7922B0F0" w14:textId="0644366B" w:rsidR="00DF3DF5" w:rsidRDefault="00DF3DF5">
      <w:pPr>
        <w:rPr>
          <w:rFonts w:ascii="Calibri" w:hAnsi="Calibri" w:cstheme="minorHAnsi"/>
        </w:rPr>
      </w:pPr>
      <w:r>
        <w:br w:type="page"/>
      </w:r>
    </w:p>
    <w:p w14:paraId="64C96D96" w14:textId="2E49716E" w:rsidR="0029708B" w:rsidRDefault="00D53DE7" w:rsidP="00D53DE7">
      <w:pPr>
        <w:pStyle w:val="figure"/>
      </w:pPr>
      <w:r>
        <w:lastRenderedPageBreak/>
        <w:drawing>
          <wp:inline distT="0" distB="0" distL="0" distR="0" wp14:anchorId="749DF710" wp14:editId="791589B0">
            <wp:extent cx="5148775"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212" cy="3486446"/>
                    </a:xfrm>
                    <a:prstGeom prst="rect">
                      <a:avLst/>
                    </a:prstGeom>
                    <a:noFill/>
                    <a:ln>
                      <a:noFill/>
                    </a:ln>
                  </pic:spPr>
                </pic:pic>
              </a:graphicData>
            </a:graphic>
          </wp:inline>
        </w:drawing>
      </w:r>
    </w:p>
    <w:p w14:paraId="5291650C" w14:textId="3854757B" w:rsidR="00D53DE7" w:rsidRDefault="0034031E" w:rsidP="00D53DE7">
      <w:pPr>
        <w:pStyle w:val="FigureDesc"/>
      </w:pPr>
      <w:r>
        <w:t>Figure 5</w:t>
      </w:r>
      <w:r w:rsidR="00D53DE7">
        <w:t>. openHistorian Components</w:t>
      </w:r>
    </w:p>
    <w:p w14:paraId="38913341" w14:textId="77777777" w:rsidR="00D53DE7" w:rsidRDefault="00D53DE7" w:rsidP="00D53DE7">
      <w:pPr>
        <w:pStyle w:val="FigureDesc"/>
      </w:pPr>
    </w:p>
    <w:p w14:paraId="4AE79523" w14:textId="77777777" w:rsidR="003E4E58" w:rsidRDefault="003E4E58" w:rsidP="003E4E58">
      <w:pPr>
        <w:pStyle w:val="Body"/>
      </w:pPr>
      <w:r>
        <w:t>Features of the openHistorian include:</w:t>
      </w:r>
    </w:p>
    <w:p w14:paraId="31513835" w14:textId="77777777" w:rsidR="003E4E58" w:rsidRDefault="003E4E58" w:rsidP="003E4E58">
      <w:pPr>
        <w:pStyle w:val="bodybullet"/>
      </w:pPr>
      <w:r>
        <w:t>A NoSQL-based data storage implementation with enhanced lossless compression optimized for efficient storage and quick extraction of high-volume data</w:t>
      </w:r>
    </w:p>
    <w:p w14:paraId="13E61097" w14:textId="77777777" w:rsidR="003E4E58" w:rsidRDefault="003E4E58" w:rsidP="003E4E58">
      <w:pPr>
        <w:pStyle w:val="bodybullet"/>
      </w:pPr>
      <w:r>
        <w:t>Data files are</w:t>
      </w:r>
      <w:r w:rsidRPr="00BC7019">
        <w:t xml:space="preserve"> ACID </w:t>
      </w:r>
      <w:r>
        <w:t>c</w:t>
      </w:r>
      <w:r w:rsidRPr="00BC7019">
        <w:t xml:space="preserve">ompliant </w:t>
      </w:r>
      <w:r>
        <w:t xml:space="preserve">creating a </w:t>
      </w:r>
      <w:r w:rsidRPr="00BC7019">
        <w:t>durable</w:t>
      </w:r>
      <w:r>
        <w:t xml:space="preserve">, </w:t>
      </w:r>
      <w:r w:rsidRPr="00BC7019">
        <w:t>consistent file structure resistant to data corruption</w:t>
      </w:r>
    </w:p>
    <w:p w14:paraId="7C172155" w14:textId="77777777" w:rsidR="003E4E58" w:rsidRDefault="003E4E58" w:rsidP="003E4E58">
      <w:pPr>
        <w:pStyle w:val="bodybullet"/>
      </w:pPr>
      <w:r>
        <w:t>Both real-time and web-based request/reply APIs exist to serve data to real-time applications and visualization tools</w:t>
      </w:r>
    </w:p>
    <w:p w14:paraId="1E66A7BA" w14:textId="77777777" w:rsidR="003E4E58" w:rsidRDefault="003E4E58" w:rsidP="003E4E58">
      <w:pPr>
        <w:pStyle w:val="bodybullet"/>
      </w:pPr>
      <w:r>
        <w:t>Grafana server is automatically included with the installation and deeply integrated with the openHistorian self-hosted web server and security system</w:t>
      </w:r>
    </w:p>
    <w:p w14:paraId="633D4922" w14:textId="77777777" w:rsidR="003E4E58" w:rsidRDefault="003E4E58" w:rsidP="003E4E58">
      <w:pPr>
        <w:pStyle w:val="bodybullet"/>
      </w:pPr>
      <w:r>
        <w:t>System supports data backfilling and out of sequence data insertion</w:t>
      </w:r>
    </w:p>
    <w:p w14:paraId="412B90E4" w14:textId="77777777" w:rsidR="003E4E58" w:rsidRDefault="003E4E58" w:rsidP="003E4E58">
      <w:pPr>
        <w:pStyle w:val="bodybullet"/>
      </w:pPr>
      <w:r>
        <w:t xml:space="preserve">Extreme time precision, down to 100 </w:t>
      </w:r>
      <w:proofErr w:type="spellStart"/>
      <w:r>
        <w:t>atto</w:t>
      </w:r>
      <w:proofErr w:type="spellEnd"/>
      <w:r>
        <w:t xml:space="preserve"> (10</w:t>
      </w:r>
      <w:r>
        <w:rPr>
          <w:szCs w:val="15"/>
          <w:vertAlign w:val="superscript"/>
        </w:rPr>
        <w:t>-16</w:t>
      </w:r>
      <w:r>
        <w:t>) seconds</w:t>
      </w:r>
    </w:p>
    <w:p w14:paraId="3F62581D" w14:textId="77777777" w:rsidR="003E4E58" w:rsidRDefault="003E4E58" w:rsidP="003E4E58">
      <w:pPr>
        <w:pStyle w:val="bodybullet"/>
      </w:pPr>
      <w:r>
        <w:t>The tuple-based key and value pair data storage system supports most any data type or structure</w:t>
      </w:r>
    </w:p>
    <w:p w14:paraId="3ADB2FD8" w14:textId="77777777" w:rsidR="003E4E58" w:rsidRDefault="003E4E58" w:rsidP="003E4E58">
      <w:pPr>
        <w:pStyle w:val="bodybullet"/>
      </w:pPr>
      <w:r>
        <w:t>Tight integration with GPA’s Grid Solutions Framework and the performant GEP and STTP protocols</w:t>
      </w:r>
    </w:p>
    <w:p w14:paraId="643C4E3D" w14:textId="72E9D4D0" w:rsidR="00370F95" w:rsidRPr="00E90CAF" w:rsidRDefault="003E4E58" w:rsidP="0081029F">
      <w:pPr>
        <w:pStyle w:val="bodybullet"/>
        <w:widowControl w:val="0"/>
      </w:pPr>
      <w:r>
        <w:t>Adapter-based service implementation allows input plugins from any data source</w:t>
      </w:r>
      <w:r>
        <w:br/>
      </w:r>
      <w:r w:rsidR="00370F95">
        <w:br w:type="page"/>
      </w:r>
    </w:p>
    <w:p w14:paraId="31AD7D64" w14:textId="359B81E1" w:rsidR="000373CB" w:rsidRDefault="005D4C7E" w:rsidP="006D6152">
      <w:pPr>
        <w:pStyle w:val="Heading1"/>
      </w:pPr>
      <w:bookmarkStart w:id="23" w:name="_Toc31377114"/>
      <w:r>
        <w:lastRenderedPageBreak/>
        <w:t>Business Solution</w:t>
      </w:r>
      <w:bookmarkEnd w:id="23"/>
    </w:p>
    <w:bookmarkEnd w:id="8"/>
    <w:bookmarkEnd w:id="9"/>
    <w:bookmarkEnd w:id="10"/>
    <w:p w14:paraId="6B87609B" w14:textId="68C9B5BA" w:rsidR="008F0EAA" w:rsidRDefault="008F0EAA" w:rsidP="008F0EAA">
      <w:pPr>
        <w:pStyle w:val="Body"/>
      </w:pPr>
      <w:r w:rsidRPr="004A6968">
        <w:t xml:space="preserve">In this </w:t>
      </w:r>
      <w:r>
        <w:t>section, GPA describes the solution proposed to meet the short- and long-term requirements for management of the data necessary to support the Transmission Asset Performance Ce</w:t>
      </w:r>
      <w:r w:rsidR="00F96D3E">
        <w:t>nter</w:t>
      </w:r>
      <w:r w:rsidR="00F1632C">
        <w:t xml:space="preserve"> and</w:t>
      </w:r>
      <w:r w:rsidR="00337F13">
        <w:t xml:space="preserve"> to meet the</w:t>
      </w:r>
      <w:r w:rsidR="00F54120">
        <w:t xml:space="preserve"> functional and non-functional requirements </w:t>
      </w:r>
      <w:r w:rsidR="008611A2">
        <w:t xml:space="preserve">provided </w:t>
      </w:r>
      <w:r w:rsidR="003B00DF">
        <w:t>by TVA in</w:t>
      </w:r>
      <w:r w:rsidR="008611A2">
        <w:t xml:space="preserve"> Attach</w:t>
      </w:r>
      <w:r w:rsidR="003B00DF">
        <w:t>ment 5.</w:t>
      </w:r>
    </w:p>
    <w:p w14:paraId="43920DA0" w14:textId="77777777" w:rsidR="008F0EAA" w:rsidRPr="00E30DE8" w:rsidRDefault="008F0EAA" w:rsidP="008F0EAA">
      <w:pPr>
        <w:pStyle w:val="Heading3"/>
      </w:pPr>
      <w:bookmarkStart w:id="24" w:name="_Toc31377115"/>
      <w:r w:rsidRPr="00E30DE8">
        <w:t>The GPA Proposed Solution</w:t>
      </w:r>
      <w:r>
        <w:t xml:space="preserve"> -- openADI</w:t>
      </w:r>
      <w:bookmarkEnd w:id="24"/>
    </w:p>
    <w:p w14:paraId="55217B94" w14:textId="035D1967" w:rsidR="008F0EAA" w:rsidRDefault="008F0EAA" w:rsidP="008F0EAA">
      <w:pPr>
        <w:pStyle w:val="Body"/>
      </w:pPr>
      <w:r>
        <w:t>GPA’s proposed solution for the Asset Data Aggregation component is called openADI (Asset Data Integration) Tool Suite, and it is specifically designed to give TVA an opportunity to use best-in class condition determination analytics for all maintainable transmission assets.</w:t>
      </w:r>
      <w:r w:rsidR="00025235">
        <w:t xml:space="preserve">  It </w:t>
      </w:r>
      <w:r w:rsidR="003E1FAA">
        <w:t xml:space="preserve">is </w:t>
      </w:r>
      <w:r w:rsidR="00545A57">
        <w:t xml:space="preserve">based on and will </w:t>
      </w:r>
      <w:r w:rsidR="00431C94">
        <w:t>re</w:t>
      </w:r>
      <w:r w:rsidR="00545A57">
        <w:t xml:space="preserve">use multiple components already developed by GPA for </w:t>
      </w:r>
      <w:r w:rsidR="00025235">
        <w:t xml:space="preserve">the </w:t>
      </w:r>
      <w:r w:rsidR="0012715F">
        <w:t xml:space="preserve">openXDA suite of </w:t>
      </w:r>
      <w:r w:rsidR="00C33B59">
        <w:t>products</w:t>
      </w:r>
      <w:r w:rsidR="0012715F">
        <w:t xml:space="preserve"> that are in production use </w:t>
      </w:r>
      <w:r w:rsidR="00B402FE">
        <w:t xml:space="preserve">supporting TVA’s </w:t>
      </w:r>
      <w:r w:rsidR="00AC2805">
        <w:t xml:space="preserve">disturbance monitoring </w:t>
      </w:r>
      <w:r w:rsidR="007C64CA">
        <w:t>analytics</w:t>
      </w:r>
      <w:r w:rsidR="00AC2805">
        <w:t>.</w:t>
      </w:r>
    </w:p>
    <w:p w14:paraId="008ECF69" w14:textId="55F0B23D" w:rsidR="008F0EAA" w:rsidRDefault="0034031E" w:rsidP="008F0EAA">
      <w:pPr>
        <w:pStyle w:val="Body"/>
      </w:pPr>
      <w:r>
        <w:t>Figure 6</w:t>
      </w:r>
      <w:r w:rsidR="008F0EAA">
        <w:t xml:space="preserve"> shows the GPA proposed architecture in more detail. </w:t>
      </w:r>
      <w:r w:rsidR="002D254E">
        <w:t xml:space="preserve"> </w:t>
      </w:r>
      <w:r w:rsidR="008F0EAA">
        <w:t xml:space="preserve">The </w:t>
      </w:r>
      <w:r w:rsidR="008F0EAA" w:rsidRPr="002D254E">
        <w:rPr>
          <w:b/>
          <w:bCs/>
        </w:rPr>
        <w:t>openADI Tool Suite</w:t>
      </w:r>
      <w:r w:rsidR="008F0EAA">
        <w:t xml:space="preserve"> consists of four components, which are used to easily connect multiple analytics to asset condition data sources and then integrate the results provided by these analytics to the fifth component – the Asset Performance Center visualizations.   </w:t>
      </w:r>
      <w:r w:rsidR="004B72DD">
        <w:t xml:space="preserve">The four </w:t>
      </w:r>
      <w:r w:rsidR="005738FF">
        <w:t xml:space="preserve">openADI tool suite </w:t>
      </w:r>
      <w:r w:rsidR="004B72DD">
        <w:t>components are:</w:t>
      </w:r>
    </w:p>
    <w:p w14:paraId="7BD6049A" w14:textId="77777777" w:rsidR="008F0EAA" w:rsidRDefault="008F0EAA" w:rsidP="008F0EAA">
      <w:pPr>
        <w:pStyle w:val="ListParagraph"/>
        <w:numPr>
          <w:ilvl w:val="0"/>
          <w:numId w:val="46"/>
        </w:numPr>
        <w:spacing w:after="120"/>
        <w:contextualSpacing w:val="0"/>
      </w:pPr>
      <w:r w:rsidRPr="00A0221F">
        <w:rPr>
          <w:u w:val="single"/>
        </w:rPr>
        <w:t>openADI Data Validation &amp; Loader Service</w:t>
      </w:r>
      <w:r>
        <w:t xml:space="preserve"> – Connections and interfaces to source data systems and to analytics requiring data from these sources is maintained by the Data Validation and Loader Service.  It provides a platform to position the data for analytics and is designed to be easily extended to include additional source data systems and analytics. It also provides some data validation functionality to ensure data quality and integrity for all connected analytics.</w:t>
      </w:r>
    </w:p>
    <w:p w14:paraId="5C7B86F3" w14:textId="4DCF6AA8" w:rsidR="008F0EAA" w:rsidRDefault="008F0EAA" w:rsidP="008F0EAA">
      <w:pPr>
        <w:pStyle w:val="ListParagraph"/>
        <w:numPr>
          <w:ilvl w:val="0"/>
          <w:numId w:val="46"/>
        </w:numPr>
        <w:spacing w:after="120"/>
        <w:contextualSpacing w:val="0"/>
      </w:pPr>
      <w:r w:rsidRPr="00A0221F">
        <w:rPr>
          <w:u w:val="single"/>
        </w:rPr>
        <w:t>openADI Results Service</w:t>
      </w:r>
      <w:r>
        <w:t xml:space="preserve"> – As individual analytics produce </w:t>
      </w:r>
      <w:r w:rsidR="009923D8">
        <w:t>result</w:t>
      </w:r>
      <w:r w:rsidR="00815CB8">
        <w:t xml:space="preserve"> </w:t>
      </w:r>
      <w:proofErr w:type="gramStart"/>
      <w:r w:rsidR="00815CB8">
        <w:t>values</w:t>
      </w:r>
      <w:r w:rsidR="001761C7">
        <w:t>,</w:t>
      </w:r>
      <w:proofErr w:type="gramEnd"/>
      <w:r>
        <w:t xml:space="preserve"> the Results Service captures these results to assure that they can be easily used within the Transmission Asset Performance center and by other TPS&amp;S and enterprise systems.</w:t>
      </w:r>
    </w:p>
    <w:p w14:paraId="09F4EDA0" w14:textId="77777777" w:rsidR="008F0EAA" w:rsidRDefault="008F0EAA" w:rsidP="008F0EAA">
      <w:pPr>
        <w:pStyle w:val="ListParagraph"/>
        <w:numPr>
          <w:ilvl w:val="0"/>
          <w:numId w:val="46"/>
        </w:numPr>
        <w:spacing w:after="120"/>
        <w:contextualSpacing w:val="0"/>
      </w:pPr>
      <w:r w:rsidRPr="00A0221F">
        <w:rPr>
          <w:u w:val="single"/>
        </w:rPr>
        <w:t>The openADI Database</w:t>
      </w:r>
      <w:r>
        <w:t xml:space="preserve"> – The openADI Database is a secure data store for any metadata needed in the Data Validation and Loader Service and the Results Service. The Database also provides historian functionality for analytic results as they are collected by the Results Service and allows the user to store extended asset information as necessary. </w:t>
      </w:r>
    </w:p>
    <w:p w14:paraId="144CC255" w14:textId="77777777" w:rsidR="008F0EAA" w:rsidRDefault="008F0EAA" w:rsidP="008F0EAA">
      <w:pPr>
        <w:pStyle w:val="ListParagraph"/>
        <w:numPr>
          <w:ilvl w:val="0"/>
          <w:numId w:val="46"/>
        </w:numPr>
        <w:spacing w:after="120"/>
        <w:contextualSpacing w:val="0"/>
      </w:pPr>
      <w:r w:rsidRPr="00F340F3">
        <w:rPr>
          <w:u w:val="single"/>
        </w:rPr>
        <w:t>openADI System Center</w:t>
      </w:r>
      <w:r w:rsidRPr="00F340F3">
        <w:t xml:space="preserve"> – Configuration of the openADI Tool Suite is performed through System Center.  It provides metadata </w:t>
      </w:r>
      <w:r>
        <w:t>management</w:t>
      </w:r>
      <w:r w:rsidRPr="00F340F3">
        <w:t xml:space="preserve"> to other openADI components and handles any changes to this metadata. </w:t>
      </w:r>
    </w:p>
    <w:p w14:paraId="5FC7FAFD" w14:textId="34C44FE7" w:rsidR="008F0EAA" w:rsidRPr="00F340F3" w:rsidRDefault="008F0EAA" w:rsidP="008F0EAA">
      <w:pPr>
        <w:pStyle w:val="Body"/>
      </w:pPr>
      <w:r>
        <w:t xml:space="preserve">The fifth component, which is not part of the openADI Tool Suite, is shown in </w:t>
      </w:r>
      <w:r w:rsidR="0034031E">
        <w:t>Figure 6</w:t>
      </w:r>
      <w:r>
        <w:t xml:space="preserve"> as the Transmission Asset Performance Center’s “Integrated Visualizations”.</w:t>
      </w:r>
    </w:p>
    <w:p w14:paraId="15F49A06" w14:textId="77777777" w:rsidR="008F0EAA" w:rsidRPr="004C234A" w:rsidRDefault="008F0EAA" w:rsidP="008F0EAA">
      <w:pPr>
        <w:pStyle w:val="Body"/>
      </w:pPr>
    </w:p>
    <w:p w14:paraId="63C5910C" w14:textId="77777777" w:rsidR="008F0EAA" w:rsidRDefault="008F0EAA" w:rsidP="008F0EAA">
      <w:pPr>
        <w:pStyle w:val="figure"/>
      </w:pPr>
      <w:r>
        <w:lastRenderedPageBreak/>
        <w:drawing>
          <wp:inline distT="0" distB="0" distL="0" distR="0" wp14:anchorId="5F65DB7E" wp14:editId="61A2540D">
            <wp:extent cx="5562230" cy="384712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67377" cy="3850680"/>
                    </a:xfrm>
                    <a:prstGeom prst="rect">
                      <a:avLst/>
                    </a:prstGeom>
                    <a:noFill/>
                    <a:ln>
                      <a:noFill/>
                    </a:ln>
                  </pic:spPr>
                </pic:pic>
              </a:graphicData>
            </a:graphic>
          </wp:inline>
        </w:drawing>
      </w:r>
    </w:p>
    <w:p w14:paraId="2D5A7465" w14:textId="5073B518" w:rsidR="008F0EAA" w:rsidRDefault="0034031E" w:rsidP="008F0EAA">
      <w:pPr>
        <w:pStyle w:val="FigureDesc"/>
      </w:pPr>
      <w:r>
        <w:t>Figure 6</w:t>
      </w:r>
      <w:r w:rsidR="008F0EAA">
        <w:t>.  GPA Proposed Components and Input Integration Options for the APC</w:t>
      </w:r>
    </w:p>
    <w:p w14:paraId="023003E9" w14:textId="77777777" w:rsidR="008F0EAA" w:rsidRDefault="008F0EAA" w:rsidP="008F0EAA">
      <w:pPr>
        <w:pStyle w:val="Body"/>
      </w:pPr>
    </w:p>
    <w:p w14:paraId="0712C47C" w14:textId="44E2E6D1" w:rsidR="008F0EAA" w:rsidRDefault="008F0EAA" w:rsidP="008F0EAA">
      <w:pPr>
        <w:pStyle w:val="Body"/>
      </w:pPr>
      <w:r>
        <w:t xml:space="preserve">Each of the </w:t>
      </w:r>
      <w:r w:rsidR="00A16AA7">
        <w:t>four</w:t>
      </w:r>
      <w:r>
        <w:t xml:space="preserve"> components in the GPA proposed solution are described in detail in the sections that follow.</w:t>
      </w:r>
    </w:p>
    <w:p w14:paraId="76087D6C" w14:textId="77777777" w:rsidR="008F0EAA" w:rsidRPr="005C32EB" w:rsidRDefault="008F0EAA" w:rsidP="008F0EAA">
      <w:pPr>
        <w:pStyle w:val="Heading4"/>
      </w:pPr>
      <w:r w:rsidRPr="005C32EB">
        <w:t>1 - openADI Data Validation &amp; Loader Service</w:t>
      </w:r>
    </w:p>
    <w:p w14:paraId="3EC087CB" w14:textId="62659CF1" w:rsidR="008F0EAA" w:rsidRDefault="008F0EAA" w:rsidP="008F0EAA">
      <w:pPr>
        <w:pStyle w:val="Body"/>
      </w:pPr>
      <w:r>
        <w:t>The openADI Data Validation and Loader Service, or “openADI Loader”, provides aggregation of all information necessary for the maintenance program that is a function of an individual asset.  The services connect to existing TVA data sources to obtain measurements and properties, such as eDNA points, Asset information from Maximo, etc.</w:t>
      </w:r>
      <w:r w:rsidR="000410DE">
        <w:t>,</w:t>
      </w:r>
      <w:r>
        <w:t xml:space="preserve"> and can store additional Asset information, such as photos, documents or values in the Database Service.  Because the service has access to the data</w:t>
      </w:r>
      <w:r w:rsidR="000410DE">
        <w:t>,</w:t>
      </w:r>
      <w:r>
        <w:t xml:space="preserve"> it can do some data validation based on custom defined rules to check for engineering reasonableness.</w:t>
      </w:r>
    </w:p>
    <w:p w14:paraId="7B265321" w14:textId="77777777" w:rsidR="008F0EAA" w:rsidRDefault="008F0EAA" w:rsidP="008F0EAA">
      <w:pPr>
        <w:pStyle w:val="Body"/>
      </w:pPr>
      <w:r>
        <w:t xml:space="preserve">The primary function of the openADI Data Validation and Loader Service is to connect analytics to asset condition data sources like eDNA, Delta X and Maximo.  </w:t>
      </w:r>
    </w:p>
    <w:p w14:paraId="085017C5" w14:textId="77777777" w:rsidR="008F0EAA" w:rsidRPr="005C32EB" w:rsidRDefault="008F0EAA" w:rsidP="008F0EAA">
      <w:pPr>
        <w:pStyle w:val="Heading5"/>
      </w:pPr>
      <w:r w:rsidRPr="005C32EB">
        <w:t xml:space="preserve">openADI </w:t>
      </w:r>
      <w:r>
        <w:t>Loader</w:t>
      </w:r>
      <w:r w:rsidRPr="005C32EB">
        <w:t xml:space="preserve"> – DATA VALIDATION</w:t>
      </w:r>
    </w:p>
    <w:p w14:paraId="03ACA0EF" w14:textId="6E517928" w:rsidR="008F0EAA" w:rsidRDefault="008F0EAA" w:rsidP="008F0EAA">
      <w:pPr>
        <w:pStyle w:val="Body"/>
      </w:pPr>
      <w:r>
        <w:t>The purpose of the data validation aspect of the openADI Data Validation and Loader Service is to check data for engineering reasonableness. Base</w:t>
      </w:r>
      <w:r w:rsidR="000410DE">
        <w:t>d</w:t>
      </w:r>
      <w:r>
        <w:t xml:space="preserve"> on pre-defined rules such as all voltages are within 20% of nominal, the data is flagged using a data quality flag. For any analytic producing results based on flagged data</w:t>
      </w:r>
      <w:r w:rsidR="000410DE">
        <w:t>,</w:t>
      </w:r>
      <w:r>
        <w:t xml:space="preserve"> the Results Service will flag the results indicating that these results may not be reliable. </w:t>
      </w:r>
    </w:p>
    <w:p w14:paraId="10A6A56D" w14:textId="77777777" w:rsidR="008F0EAA" w:rsidRDefault="008F0EAA" w:rsidP="008F0EAA">
      <w:pPr>
        <w:pStyle w:val="Body"/>
      </w:pPr>
      <w:r>
        <w:lastRenderedPageBreak/>
        <w:t>The openADI System Center allows the user to define these data validation rules based on standard deviation and mean as well as fixed limits. The rules can be applied to certain measurement types, such as all voltages, or to individual points from specific data source systems.</w:t>
      </w:r>
    </w:p>
    <w:p w14:paraId="64250DB4" w14:textId="77777777" w:rsidR="008F0EAA" w:rsidRPr="005C32EB" w:rsidRDefault="008F0EAA" w:rsidP="008F0EAA">
      <w:pPr>
        <w:pStyle w:val="Heading5"/>
      </w:pPr>
      <w:r w:rsidRPr="005C32EB">
        <w:t xml:space="preserve">openADI </w:t>
      </w:r>
      <w:r>
        <w:t xml:space="preserve">Loader </w:t>
      </w:r>
      <w:r w:rsidRPr="005C32EB">
        <w:t>– SOURCE DATA INTEGRATION</w:t>
      </w:r>
    </w:p>
    <w:p w14:paraId="7C8B9AB0" w14:textId="427DE233" w:rsidR="008F0EAA" w:rsidRDefault="008F0EAA" w:rsidP="008F0EAA">
      <w:pPr>
        <w:pStyle w:val="Body"/>
      </w:pPr>
      <w:r>
        <w:t>GPA has extensive experience in connecting to TVA data systems. These include systems that house asset nameplate information such as Maximo and FAWG and systems that are used to house asset measurement information such as eDNA.  A short list of the ten systems, which were cited in the solicitation as likely sources of asset condition data, is provided below along with other data source formats and sources. In addition, for each of the data sources, GPA briefly summarizes our experience connecting to them.</w:t>
      </w:r>
      <w:r w:rsidR="006E14BA">
        <w:t xml:space="preserve">  As mentioned earlier in this proposal, </w:t>
      </w:r>
      <w:r w:rsidR="00202F06">
        <w:t xml:space="preserve">data source </w:t>
      </w:r>
      <w:r w:rsidR="003C69BA">
        <w:t xml:space="preserve">integration may be able to </w:t>
      </w:r>
      <w:r w:rsidR="00051F82">
        <w:t xml:space="preserve">be </w:t>
      </w:r>
      <w:r w:rsidR="003C69BA">
        <w:t>jump started by le</w:t>
      </w:r>
      <w:r w:rsidR="00924847">
        <w:t>veraging the TPS Information Model – See Appendix F.</w:t>
      </w:r>
    </w:p>
    <w:p w14:paraId="12BA4C26" w14:textId="77777777" w:rsidR="008F0EAA" w:rsidRPr="005C32EB" w:rsidRDefault="008F0EAA" w:rsidP="008F0EAA">
      <w:pPr>
        <w:pStyle w:val="Heading6"/>
      </w:pPr>
      <w:r w:rsidRPr="005C32EB">
        <w:t>eDNA Historian</w:t>
      </w:r>
    </w:p>
    <w:p w14:paraId="10080B2D" w14:textId="10FFFBF6" w:rsidR="008F0EAA" w:rsidRDefault="008F0EAA" w:rsidP="008F0EAA">
      <w:pPr>
        <w:pStyle w:val="Body"/>
      </w:pPr>
      <w:r>
        <w:t>The eDNA Historian provides access to SCADA points, such as breaker status, voltage and currents. GPA has already developed software that interfaces with TVA’s Transmission instance of eDNA, which is in use in the openXDA deployed at TVA’s power quality group. This data is timeseries data with a point every few second</w:t>
      </w:r>
      <w:r w:rsidR="000410DE">
        <w:t>s</w:t>
      </w:r>
      <w:r>
        <w:t>. Because it is possible to request historic data from the eDNA historian</w:t>
      </w:r>
      <w:r w:rsidR="000410DE">
        <w:t xml:space="preserve">, </w:t>
      </w:r>
      <w:r>
        <w:t>it is not necessary to store this data in the openADI Database.</w:t>
      </w:r>
    </w:p>
    <w:p w14:paraId="1FA167C2" w14:textId="77777777" w:rsidR="008F0EAA" w:rsidRDefault="008F0EAA" w:rsidP="008F0EAA">
      <w:pPr>
        <w:pStyle w:val="Heading6"/>
      </w:pPr>
      <w:r>
        <w:t>Maximo</w:t>
      </w:r>
    </w:p>
    <w:p w14:paraId="0E164FFA" w14:textId="77777777" w:rsidR="008F0EAA" w:rsidRPr="008F0EAA" w:rsidRDefault="008F0EAA" w:rsidP="008F0EAA">
      <w:pPr>
        <w:pStyle w:val="Body"/>
      </w:pPr>
      <w:r>
        <w:t xml:space="preserve">Maximo can provide a number of different data sources. Because Maximo is considered TVA’s Asset Registry System it can be used to obtain nameplate information. This type of data does not change over time and can be requested when it is needed, which means it does not have to be stored in the openADI Database. </w:t>
      </w:r>
    </w:p>
    <w:p w14:paraId="0906DCC6" w14:textId="77777777" w:rsidR="008F0EAA" w:rsidRDefault="008F0EAA" w:rsidP="008F0EAA">
      <w:pPr>
        <w:pStyle w:val="Body"/>
      </w:pPr>
      <w:r>
        <w:t xml:space="preserve">In addition, TVA uses Maximo to record asset inspection results. The openADI Data Validation and Loader Service can use this to obtain inspection results including historic and most recent inspection forms and pictures uploaded during TVA’s asset inspection process. </w:t>
      </w:r>
    </w:p>
    <w:p w14:paraId="67505F2F" w14:textId="77777777" w:rsidR="008F0EAA" w:rsidRDefault="008F0EAA" w:rsidP="008F0EAA">
      <w:pPr>
        <w:pStyle w:val="Body"/>
      </w:pPr>
      <w:r>
        <w:t>GPA has also developed software that interfaces with TVA’s Transmission instance of Maximo. This was done as part of the work for TVA’s power quality group to obtain nameplate information from Maximo.</w:t>
      </w:r>
    </w:p>
    <w:p w14:paraId="11608450" w14:textId="77777777" w:rsidR="008F0EAA" w:rsidRDefault="008F0EAA" w:rsidP="008F0EAA">
      <w:pPr>
        <w:pStyle w:val="Heading6"/>
      </w:pPr>
      <w:r>
        <w:t>Mobile Test</w:t>
      </w:r>
    </w:p>
    <w:p w14:paraId="3EC0BCAA" w14:textId="759F67AF" w:rsidR="008F0EAA" w:rsidRDefault="008F0EAA" w:rsidP="008F0EAA">
      <w:pPr>
        <w:pStyle w:val="Body"/>
      </w:pPr>
      <w:r>
        <w:t>Mobile Test is a TVA developed front-end application that connects to Maximo. If required</w:t>
      </w:r>
      <w:r w:rsidR="000410DE">
        <w:t>,</w:t>
      </w:r>
      <w:r>
        <w:t xml:space="preserve"> GPA can develop an API for the openADI Data Validation and Loader Service to connect to Mobile Test. However, since Mobile Test connects to Maximo and saves most of its data input to Maximo</w:t>
      </w:r>
      <w:r w:rsidR="000410DE">
        <w:t>,</w:t>
      </w:r>
      <w:r>
        <w:t xml:space="preserve"> the data will be available to openADI through the connection to Maximo without additional work. Since the data is stored in Maximo it does not have to be saved in the openADI Database.</w:t>
      </w:r>
    </w:p>
    <w:p w14:paraId="0312AA2A" w14:textId="77777777" w:rsidR="008F0EAA" w:rsidRDefault="008F0EAA" w:rsidP="008F0EAA">
      <w:pPr>
        <w:pStyle w:val="Heading6"/>
      </w:pPr>
      <w:r>
        <w:t>Delta X TOA4</w:t>
      </w:r>
    </w:p>
    <w:p w14:paraId="7E16D004" w14:textId="2C77FF06" w:rsidR="008F0EAA" w:rsidRDefault="008F0EAA" w:rsidP="008F0EAA">
      <w:pPr>
        <w:pStyle w:val="Body"/>
      </w:pPr>
      <w:r>
        <w:t>TOA4 provides results from transformer gas analysis. Since Delta X provides an API to exchange data with other systems</w:t>
      </w:r>
      <w:r w:rsidR="000410DE">
        <w:t>,</w:t>
      </w:r>
      <w:r>
        <w:t xml:space="preserve"> the openADI can obtain the results on a periodic basis. TOA4 also has its own database storing the gas analysis results</w:t>
      </w:r>
      <w:r w:rsidR="000410DE">
        <w:t>,</w:t>
      </w:r>
      <w:r>
        <w:t xml:space="preserve"> and the API allows the openADI to request historic data, therefore, the data does not have to be stored in the openADI Database.</w:t>
      </w:r>
    </w:p>
    <w:p w14:paraId="4C372397" w14:textId="77777777" w:rsidR="008F0EAA" w:rsidRDefault="008F0EAA" w:rsidP="008F0EAA">
      <w:pPr>
        <w:pStyle w:val="Heading6"/>
      </w:pPr>
      <w:r>
        <w:lastRenderedPageBreak/>
        <w:t>EPRI PTX</w:t>
      </w:r>
    </w:p>
    <w:p w14:paraId="7A5D2541" w14:textId="629662E4" w:rsidR="008F0EAA" w:rsidRPr="00CD069D" w:rsidRDefault="008F0EAA" w:rsidP="008F0EAA">
      <w:pPr>
        <w:pStyle w:val="Body"/>
      </w:pPr>
      <w:bookmarkStart w:id="25" w:name="_Hlk31116865"/>
      <w:r w:rsidRPr="00CD069D">
        <w:t>The EPRI Power Transformer Expert Software is</w:t>
      </w:r>
      <w:r w:rsidR="000410DE">
        <w:t xml:space="preserve"> </w:t>
      </w:r>
      <w:r w:rsidRPr="00CD069D">
        <w:t>transformer condition analysis software developed by EPRI and used by TVA to support transformer analysis. The software collects a number of datapoints about transform</w:t>
      </w:r>
      <w:r w:rsidR="000410DE">
        <w:t>ers</w:t>
      </w:r>
      <w:r w:rsidRPr="00CD069D">
        <w:t xml:space="preserve"> and provides assessments of the transformer’s degradation.</w:t>
      </w:r>
    </w:p>
    <w:p w14:paraId="626B20CD" w14:textId="5B8839F3" w:rsidR="008F0EAA" w:rsidRPr="00CD069D" w:rsidRDefault="008F0EAA" w:rsidP="008F0EAA">
      <w:pPr>
        <w:pStyle w:val="Body"/>
      </w:pPr>
      <w:r w:rsidRPr="00CD069D">
        <w:t>GPA has worked with EPRI before and based on previous experience with EPRI developed software a custom interface is</w:t>
      </w:r>
      <w:r w:rsidR="000410DE">
        <w:t xml:space="preserve"> likely to be needed</w:t>
      </w:r>
      <w:r w:rsidRPr="00CD069D">
        <w:t xml:space="preserve"> to connect to the EPRI PTX software. </w:t>
      </w:r>
      <w:r>
        <w:t xml:space="preserve">In addition, GPA believes that most of the data collected by the PTX software, such as nameplate information, is </w:t>
      </w:r>
      <w:r w:rsidR="000410DE">
        <w:t>likely to be</w:t>
      </w:r>
      <w:r>
        <w:t xml:space="preserve"> available</w:t>
      </w:r>
      <w:r w:rsidR="000410DE">
        <w:t xml:space="preserve"> from</w:t>
      </w:r>
      <w:r>
        <w:t xml:space="preserve"> other </w:t>
      </w:r>
      <w:r w:rsidR="000410DE">
        <w:t xml:space="preserve">TVA </w:t>
      </w:r>
      <w:r>
        <w:t>data source</w:t>
      </w:r>
      <w:r w:rsidR="000410DE">
        <w:t>s</w:t>
      </w:r>
      <w:r>
        <w:t>.</w:t>
      </w:r>
    </w:p>
    <w:bookmarkEnd w:id="25"/>
    <w:p w14:paraId="42D651C8" w14:textId="77777777" w:rsidR="008F0EAA" w:rsidRDefault="008F0EAA" w:rsidP="008F0EAA">
      <w:pPr>
        <w:pStyle w:val="Heading6"/>
      </w:pPr>
      <w:r>
        <w:t>Doble Test Assistant Software (DTA)</w:t>
      </w:r>
    </w:p>
    <w:p w14:paraId="330C426B" w14:textId="50DAF7EC" w:rsidR="008F0EAA" w:rsidRPr="008F0EAA" w:rsidRDefault="008F0EAA" w:rsidP="008F0EAA">
      <w:pPr>
        <w:pStyle w:val="Body"/>
      </w:pPr>
      <w:r>
        <w:t>The standard Doble DTA software uses a Doble Database which is difficult to access by third party applications. Depending on the specific configuration at TVA</w:t>
      </w:r>
      <w:r w:rsidR="00445377">
        <w:t>,</w:t>
      </w:r>
      <w:r>
        <w:t xml:space="preserve"> it will be necessary to access Doble DTA data through a custom interface. GPA included the development of this interface in this proposal, but further discussions are necessary to determine the technical specifications of this interface.</w:t>
      </w:r>
    </w:p>
    <w:p w14:paraId="785CD7C3" w14:textId="77777777" w:rsidR="008F0EAA" w:rsidRDefault="008F0EAA" w:rsidP="008F0EAA">
      <w:pPr>
        <w:pStyle w:val="Heading6"/>
      </w:pPr>
      <w:proofErr w:type="spellStart"/>
      <w:r>
        <w:t>Telenium</w:t>
      </w:r>
      <w:proofErr w:type="spellEnd"/>
    </w:p>
    <w:p w14:paraId="1CCE4C54" w14:textId="7B65F8F0" w:rsidR="008F0EAA" w:rsidRDefault="008F0EAA" w:rsidP="008F0EAA">
      <w:pPr>
        <w:pStyle w:val="Body"/>
      </w:pPr>
      <w:proofErr w:type="spellStart"/>
      <w:r>
        <w:t>Telenium</w:t>
      </w:r>
      <w:proofErr w:type="spellEnd"/>
      <w:r>
        <w:t xml:space="preserve"> collects data about communication assets at TVA. Because communication assets are usually on a significantly faster replacement cycle than electric power system assets</w:t>
      </w:r>
      <w:r w:rsidR="00445377">
        <w:t>,</w:t>
      </w:r>
      <w:r>
        <w:t xml:space="preserve"> this represents a challenge to the APC and the value of implementing a connection to </w:t>
      </w:r>
      <w:proofErr w:type="spellStart"/>
      <w:r>
        <w:t>Telenium</w:t>
      </w:r>
      <w:proofErr w:type="spellEnd"/>
      <w:r>
        <w:t xml:space="preserve"> is not fully understood by GPA. </w:t>
      </w:r>
    </w:p>
    <w:p w14:paraId="3152E8FD" w14:textId="77777777" w:rsidR="008F0EAA" w:rsidRPr="00EF0A9F" w:rsidRDefault="008F0EAA" w:rsidP="008F0EAA">
      <w:pPr>
        <w:pStyle w:val="Body"/>
      </w:pPr>
      <w:r>
        <w:t xml:space="preserve">Depending on the specific configuration at TVA it might be necessary to develop a custom interface to collect data from </w:t>
      </w:r>
      <w:proofErr w:type="spellStart"/>
      <w:r>
        <w:t>Telenium</w:t>
      </w:r>
      <w:proofErr w:type="spellEnd"/>
      <w:r>
        <w:t>. GPA has included the work to build such interface as an optional item in this quote, but further discussions are necessary to determine the technical specifications of this interface.</w:t>
      </w:r>
    </w:p>
    <w:p w14:paraId="54C10DC5" w14:textId="77777777" w:rsidR="008F0EAA" w:rsidRDefault="008F0EAA" w:rsidP="008F0EAA">
      <w:pPr>
        <w:pStyle w:val="Heading6"/>
      </w:pPr>
      <w:r>
        <w:t>ESRI</w:t>
      </w:r>
    </w:p>
    <w:p w14:paraId="0CC0B1AD" w14:textId="2359657C" w:rsidR="008F0EAA" w:rsidRPr="00FC1E22" w:rsidRDefault="008F0EAA" w:rsidP="008F0EAA">
      <w:pPr>
        <w:pStyle w:val="Body"/>
      </w:pPr>
      <w:r>
        <w:t xml:space="preserve">GPA has experience </w:t>
      </w:r>
      <w:r w:rsidR="00445377">
        <w:t xml:space="preserve">in </w:t>
      </w:r>
      <w:r>
        <w:t xml:space="preserve">connecting to the ESRI suite </w:t>
      </w:r>
      <w:r w:rsidR="00445377">
        <w:t xml:space="preserve">of geospatial tools </w:t>
      </w:r>
      <w:r>
        <w:t xml:space="preserve">at TVA. </w:t>
      </w:r>
      <w:r w:rsidR="00445377">
        <w:t xml:space="preserve"> GPA’s o</w:t>
      </w:r>
      <w:r>
        <w:t xml:space="preserve">penXDA </w:t>
      </w:r>
      <w:r w:rsidR="00445377">
        <w:t xml:space="preserve">system installed at TVA </w:t>
      </w:r>
      <w:r>
        <w:t xml:space="preserve">makes use of some of </w:t>
      </w:r>
      <w:r w:rsidR="00445377">
        <w:t xml:space="preserve">ESRI tools to help find the proximity of lightning strikes to individual transmission lines – among other use cases. </w:t>
      </w:r>
    </w:p>
    <w:p w14:paraId="576CEBD3" w14:textId="77777777" w:rsidR="008F0EAA" w:rsidRPr="005C32EB" w:rsidRDefault="008F0EAA" w:rsidP="008F0EAA">
      <w:pPr>
        <w:pStyle w:val="Heading6"/>
      </w:pPr>
      <w:r w:rsidRPr="005C32EB">
        <w:t>Power DB</w:t>
      </w:r>
    </w:p>
    <w:p w14:paraId="089FDD6A" w14:textId="3796FCD2" w:rsidR="008F0EAA" w:rsidRPr="00FC1E22" w:rsidRDefault="008F0EAA" w:rsidP="008F0EAA">
      <w:pPr>
        <w:pStyle w:val="Body"/>
      </w:pPr>
      <w:proofErr w:type="spellStart"/>
      <w:r>
        <w:t>PowerDB</w:t>
      </w:r>
      <w:proofErr w:type="spellEnd"/>
      <w:r>
        <w:t xml:space="preserve"> provides a collection of data </w:t>
      </w:r>
      <w:r w:rsidR="00445377">
        <w:t>f</w:t>
      </w:r>
      <w:r>
        <w:t xml:space="preserve">rom maintenance and testing activities related to TVA’s Battery fleet. Because </w:t>
      </w:r>
      <w:proofErr w:type="spellStart"/>
      <w:r>
        <w:t>PowerDB</w:t>
      </w:r>
      <w:proofErr w:type="spellEnd"/>
      <w:r>
        <w:t xml:space="preserve"> can store all of its information in a SQL database it is possible for openADI to connect to the </w:t>
      </w:r>
      <w:proofErr w:type="spellStart"/>
      <w:r>
        <w:t>PowerDB’s</w:t>
      </w:r>
      <w:proofErr w:type="spellEnd"/>
      <w:r>
        <w:t xml:space="preserve"> database and obtain a copy of the information. GPA has implemented similar approaches to interface with other TVA systems, such as SMART-FAWG, in the past. Because </w:t>
      </w:r>
      <w:proofErr w:type="spellStart"/>
      <w:r>
        <w:t>PowerDB</w:t>
      </w:r>
      <w:proofErr w:type="spellEnd"/>
      <w:r>
        <w:t xml:space="preserve"> has its own database the data does not have to be stored in the openADI Database.</w:t>
      </w:r>
    </w:p>
    <w:p w14:paraId="77FDE43A" w14:textId="77777777" w:rsidR="008F0EAA" w:rsidRDefault="008F0EAA" w:rsidP="008F0EAA">
      <w:pPr>
        <w:pStyle w:val="Heading6"/>
      </w:pPr>
      <w:proofErr w:type="spellStart"/>
      <w:r>
        <w:t>Syclo</w:t>
      </w:r>
      <w:proofErr w:type="spellEnd"/>
    </w:p>
    <w:p w14:paraId="6229722A" w14:textId="4406DDF1" w:rsidR="008F0EAA" w:rsidRDefault="008F0EAA" w:rsidP="008F0EAA">
      <w:pPr>
        <w:pStyle w:val="Body"/>
      </w:pPr>
      <w:proofErr w:type="spellStart"/>
      <w:r w:rsidRPr="00343000">
        <w:t>Syclo</w:t>
      </w:r>
      <w:proofErr w:type="spellEnd"/>
      <w:r w:rsidRPr="00343000">
        <w:t xml:space="preserve"> is a mobile application that can provide additional data to asset health analytics. </w:t>
      </w:r>
      <w:proofErr w:type="spellStart"/>
      <w:r w:rsidRPr="00343000">
        <w:t>Syclo</w:t>
      </w:r>
      <w:proofErr w:type="spellEnd"/>
      <w:r w:rsidRPr="00343000">
        <w:t xml:space="preserve"> has been acquired by SAP</w:t>
      </w:r>
      <w:r w:rsidR="00445377">
        <w:t>, and</w:t>
      </w:r>
      <w:r w:rsidRPr="00343000">
        <w:t xml:space="preserve"> it has been integrated into the SAP </w:t>
      </w:r>
      <w:r>
        <w:t>S</w:t>
      </w:r>
      <w:r w:rsidRPr="00343000">
        <w:t xml:space="preserve">oftware </w:t>
      </w:r>
      <w:r>
        <w:t>S</w:t>
      </w:r>
      <w:r w:rsidRPr="00343000">
        <w:t xml:space="preserve">uite. </w:t>
      </w:r>
    </w:p>
    <w:p w14:paraId="6B0DA114" w14:textId="77777777" w:rsidR="008F0EAA" w:rsidRPr="00343000" w:rsidRDefault="008F0EAA" w:rsidP="008F0EAA">
      <w:pPr>
        <w:pStyle w:val="Body"/>
      </w:pPr>
      <w:r w:rsidRPr="00343000">
        <w:t>Without additional information a</w:t>
      </w:r>
      <w:r>
        <w:t>b</w:t>
      </w:r>
      <w:r w:rsidRPr="00343000">
        <w:t xml:space="preserve">out TVA’s configuration of the application it is </w:t>
      </w:r>
      <w:r>
        <w:t>not possible</w:t>
      </w:r>
      <w:r w:rsidRPr="00343000">
        <w:t xml:space="preserve"> to determine the requirements to connect to this application or the SAP </w:t>
      </w:r>
      <w:r>
        <w:t>S</w:t>
      </w:r>
      <w:r w:rsidRPr="00343000">
        <w:t xml:space="preserve">oftware </w:t>
      </w:r>
      <w:r>
        <w:t>S</w:t>
      </w:r>
      <w:r w:rsidRPr="00343000">
        <w:t>uite</w:t>
      </w:r>
      <w:r>
        <w:t xml:space="preserve"> if necessary</w:t>
      </w:r>
      <w:r w:rsidRPr="00343000">
        <w:t xml:space="preserve">. </w:t>
      </w:r>
      <w:r>
        <w:t xml:space="preserve">GPA has included an initial guess of the work required to build a custom interface to connect to </w:t>
      </w:r>
      <w:proofErr w:type="spellStart"/>
      <w:r>
        <w:lastRenderedPageBreak/>
        <w:t>Syclo</w:t>
      </w:r>
      <w:proofErr w:type="spellEnd"/>
      <w:r>
        <w:t xml:space="preserve"> as an optional item. However, without further discussion it is not possible to determine the technical specifications of this interface.</w:t>
      </w:r>
    </w:p>
    <w:p w14:paraId="04E964B8" w14:textId="77777777" w:rsidR="008F0EAA" w:rsidRDefault="008F0EAA" w:rsidP="008F0EAA">
      <w:pPr>
        <w:pStyle w:val="Heading6"/>
      </w:pPr>
      <w:r>
        <w:t>XML and CSV Files</w:t>
      </w:r>
    </w:p>
    <w:p w14:paraId="08C9A26A" w14:textId="77777777" w:rsidR="008F0EAA" w:rsidRDefault="008F0EAA" w:rsidP="008F0EAA">
      <w:pPr>
        <w:pStyle w:val="Body"/>
      </w:pPr>
      <w:r w:rsidRPr="00056513">
        <w:t xml:space="preserve">GPA products, such as the openPDC and openXDA deployed at TVA, include the capability of reading XML and CSV formats as necessary. This includes structured files containing timeseries data and nameplate information. </w:t>
      </w:r>
      <w:r>
        <w:t xml:space="preserve">The </w:t>
      </w:r>
      <w:r w:rsidRPr="00056513">
        <w:t>openADI</w:t>
      </w:r>
      <w:r>
        <w:t xml:space="preserve"> Validation and Loader Service</w:t>
      </w:r>
      <w:r w:rsidRPr="00056513">
        <w:t xml:space="preserve"> includes the same underlying file processors and is able to ingest CSV and XML files. </w:t>
      </w:r>
    </w:p>
    <w:p w14:paraId="3A687F7F" w14:textId="26802F6C" w:rsidR="008F0EAA" w:rsidRPr="00056513" w:rsidRDefault="008F0EAA" w:rsidP="008F0EAA">
      <w:pPr>
        <w:pStyle w:val="Body"/>
      </w:pPr>
      <w:r w:rsidRPr="00056513">
        <w:t xml:space="preserve">In addition, GPA and EPRI have developed the PQDS file format, a CSV based format to contain measurement data and metadata. </w:t>
      </w:r>
      <w:r>
        <w:t xml:space="preserve">The </w:t>
      </w:r>
      <w:r w:rsidRPr="00056513">
        <w:t>openADI</w:t>
      </w:r>
      <w:r>
        <w:t xml:space="preserve"> Validation and Loader Service</w:t>
      </w:r>
      <w:r w:rsidRPr="00056513">
        <w:t xml:space="preserve"> can also ingest the PQDS format. </w:t>
      </w:r>
      <w:r>
        <w:t xml:space="preserve">The </w:t>
      </w:r>
      <w:r w:rsidRPr="00056513">
        <w:t>openADI</w:t>
      </w:r>
      <w:r>
        <w:t xml:space="preserve"> Validation and Loader Service</w:t>
      </w:r>
      <w:r w:rsidRPr="00056513">
        <w:t xml:space="preserve"> also has the capability to ingest CSV and XML files based on a custom structure to allow the </w:t>
      </w:r>
      <w:r>
        <w:t>user</w:t>
      </w:r>
      <w:r w:rsidRPr="00056513">
        <w:t xml:space="preserve"> to define their own data-format.</w:t>
      </w:r>
      <w:r>
        <w:t xml:space="preserve"> The input files can be stored in the openADI Database or retrieved f</w:t>
      </w:r>
      <w:r w:rsidR="00445377">
        <w:t>rom</w:t>
      </w:r>
      <w:r>
        <w:t xml:space="preserve"> an external file share as necessary.</w:t>
      </w:r>
    </w:p>
    <w:p w14:paraId="55EFED72" w14:textId="77777777" w:rsidR="008F0EAA" w:rsidRDefault="008F0EAA" w:rsidP="008F0EAA">
      <w:pPr>
        <w:pStyle w:val="Heading6"/>
      </w:pPr>
      <w:r>
        <w:t>openHistorian</w:t>
      </w:r>
    </w:p>
    <w:p w14:paraId="70752519" w14:textId="1EA8000D" w:rsidR="008F0EAA" w:rsidRDefault="008F0EAA" w:rsidP="008F0EAA">
      <w:pPr>
        <w:pStyle w:val="Body"/>
      </w:pPr>
      <w:r>
        <w:t>The openHistorian provides phasor data from TVA’s PMU network. Because the openPDC and the openADI are both GPA products, tight integration between them is possible. The openHistorian already has a number of interfaces to connect to visualization tools, such as Grafana, similar to the APC integrated visualizations</w:t>
      </w:r>
      <w:r w:rsidR="00445377">
        <w:t>,</w:t>
      </w:r>
      <w:r>
        <w:t xml:space="preserve"> and any phasor data stored in the openHistorian can be made available to the openADI Validation and Loader Service.</w:t>
      </w:r>
    </w:p>
    <w:p w14:paraId="591D257E" w14:textId="77777777" w:rsidR="008F0EAA" w:rsidRDefault="008F0EAA" w:rsidP="008F0EAA">
      <w:pPr>
        <w:pStyle w:val="Heading6"/>
      </w:pPr>
      <w:r>
        <w:t>openXDA</w:t>
      </w:r>
    </w:p>
    <w:p w14:paraId="4E3444E4" w14:textId="77777777" w:rsidR="008F0EAA" w:rsidRDefault="008F0EAA" w:rsidP="008F0EAA">
      <w:pPr>
        <w:pStyle w:val="Body"/>
      </w:pPr>
      <w:r>
        <w:t xml:space="preserve">The openXDA is a </w:t>
      </w:r>
      <w:r w:rsidRPr="00992632">
        <w:t>platform for processing event and trending records from disturbance monitoring equipment such as digital fault recorders (DFRs), relays</w:t>
      </w:r>
      <w:r>
        <w:t xml:space="preserve"> and </w:t>
      </w:r>
      <w:r w:rsidRPr="00992632">
        <w:t>power quality meters</w:t>
      </w:r>
      <w:r>
        <w:t xml:space="preserve">. GPA has deployed an instance of the openXDA in TVA’s power quality group and can provide an API to make the results available to the openADI Data Validation and Loader Service. GPA has also previously developed some asset health indication based on breaker trip coil current timing and implemented these within the openXDA. </w:t>
      </w:r>
    </w:p>
    <w:p w14:paraId="4643AACE" w14:textId="77777777" w:rsidR="008F0EAA" w:rsidRDefault="008F0EAA" w:rsidP="008F0EAA">
      <w:pPr>
        <w:pStyle w:val="Heading6"/>
      </w:pPr>
      <w:r>
        <w:t>AZURE API</w:t>
      </w:r>
    </w:p>
    <w:p w14:paraId="2CFC81B8" w14:textId="77777777" w:rsidR="008F0EAA" w:rsidRDefault="008F0EAA" w:rsidP="008F0EAA">
      <w:pPr>
        <w:pStyle w:val="Body"/>
      </w:pPr>
      <w:r>
        <w:t xml:space="preserve">A number of GPA products, including the openHistorian and the openPDC, already have an Azure API included. This API allows the user to easily connect the systems to AZURE and use the data to develop cloud analytics. </w:t>
      </w:r>
    </w:p>
    <w:p w14:paraId="6E09445C" w14:textId="77777777" w:rsidR="008F0EAA" w:rsidRDefault="008F0EAA" w:rsidP="008F0EAA">
      <w:pPr>
        <w:pStyle w:val="Body"/>
      </w:pPr>
      <w:r>
        <w:t>The openADI Data Validation and Loader Service also includes an Azure API, allowing TVA to develop and use Azure based cloud analytics within the proposed architecture.</w:t>
      </w:r>
    </w:p>
    <w:p w14:paraId="7490796D" w14:textId="77777777" w:rsidR="008F0EAA" w:rsidRPr="00100426" w:rsidRDefault="008F0EAA" w:rsidP="008F0EAA">
      <w:pPr>
        <w:pStyle w:val="Heading5"/>
        <w:ind w:right="-270"/>
      </w:pPr>
      <w:r>
        <w:t>openADI Loader – SOURCE DATA INTEGRATION WITH ANALYTICS</w:t>
      </w:r>
    </w:p>
    <w:p w14:paraId="658F3C1D" w14:textId="0F7CEEB2" w:rsidR="008F0EAA" w:rsidRDefault="008F0EAA" w:rsidP="008F0EAA">
      <w:pPr>
        <w:pStyle w:val="Body"/>
      </w:pPr>
      <w:r>
        <w:t xml:space="preserve">In </w:t>
      </w:r>
      <w:r w:rsidR="0034031E">
        <w:t>Figure 6</w:t>
      </w:r>
      <w:r>
        <w:t>, seven use cases are shown to highlight the different implementation approaches that are likely to be necessary to successfully implement best-in-class analytics.   The data integration layer of the openADI Tool Suite, will be tasked with implementing reliable, maintainable data interfaces regardless of the level of existing integration capability for these tools.   Specifically, these integration use cases are:</w:t>
      </w:r>
    </w:p>
    <w:p w14:paraId="43020591" w14:textId="77777777" w:rsidR="008F0EAA" w:rsidRDefault="008F0EAA" w:rsidP="008F0EAA">
      <w:pPr>
        <w:pStyle w:val="Body"/>
      </w:pPr>
    </w:p>
    <w:tbl>
      <w:tblPr>
        <w:tblStyle w:val="ListTable4"/>
        <w:tblW w:w="8726" w:type="dxa"/>
        <w:tblLook w:val="04A0" w:firstRow="1" w:lastRow="0" w:firstColumn="1" w:lastColumn="0" w:noHBand="0" w:noVBand="1"/>
      </w:tblPr>
      <w:tblGrid>
        <w:gridCol w:w="3865"/>
        <w:gridCol w:w="2353"/>
        <w:gridCol w:w="1039"/>
        <w:gridCol w:w="1469"/>
      </w:tblGrid>
      <w:tr w:rsidR="008F0EAA" w14:paraId="489C0AE6" w14:textId="77777777" w:rsidTr="00F64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auto"/>
            </w:tcBorders>
          </w:tcPr>
          <w:p w14:paraId="3F9C6E22" w14:textId="77777777" w:rsidR="008F0EAA" w:rsidRDefault="008F0EAA" w:rsidP="00F64233">
            <w:pPr>
              <w:keepNext/>
              <w:spacing w:before="120"/>
              <w:jc w:val="center"/>
            </w:pPr>
            <w:r>
              <w:lastRenderedPageBreak/>
              <w:t>Analytics Source Data Use Case</w:t>
            </w:r>
          </w:p>
        </w:tc>
        <w:tc>
          <w:tcPr>
            <w:tcW w:w="2353" w:type="dxa"/>
            <w:tcBorders>
              <w:bottom w:val="single" w:sz="4" w:space="0" w:color="auto"/>
            </w:tcBorders>
          </w:tcPr>
          <w:p w14:paraId="6F39DBC0" w14:textId="77777777" w:rsidR="008F0EAA" w:rsidRDefault="008F0EAA" w:rsidP="00F64233">
            <w:pPr>
              <w:keepNext/>
              <w:spacing w:before="120"/>
              <w:jc w:val="center"/>
              <w:cnfStyle w:val="100000000000" w:firstRow="1" w:lastRow="0" w:firstColumn="0" w:lastColumn="0" w:oddVBand="0" w:evenVBand="0" w:oddHBand="0" w:evenHBand="0" w:firstRowFirstColumn="0" w:firstRowLastColumn="0" w:lastRowFirstColumn="0" w:lastRowLastColumn="0"/>
            </w:pPr>
            <w:r>
              <w:t>API</w:t>
            </w:r>
          </w:p>
        </w:tc>
        <w:tc>
          <w:tcPr>
            <w:tcW w:w="1039" w:type="dxa"/>
            <w:tcBorders>
              <w:bottom w:val="single" w:sz="4" w:space="0" w:color="auto"/>
            </w:tcBorders>
          </w:tcPr>
          <w:p w14:paraId="19B046F2" w14:textId="77777777" w:rsidR="008F0EAA" w:rsidRDefault="008F0EAA" w:rsidP="00F64233">
            <w:pPr>
              <w:keepNext/>
              <w:jc w:val="center"/>
              <w:cnfStyle w:val="100000000000" w:firstRow="1" w:lastRow="0" w:firstColumn="0" w:lastColumn="0" w:oddVBand="0" w:evenVBand="0" w:oddHBand="0" w:evenHBand="0" w:firstRowFirstColumn="0" w:firstRowLastColumn="0" w:lastRowFirstColumn="0" w:lastRowLastColumn="0"/>
            </w:pPr>
            <w:r>
              <w:t>Custom Interface</w:t>
            </w:r>
          </w:p>
        </w:tc>
        <w:tc>
          <w:tcPr>
            <w:tcW w:w="1469" w:type="dxa"/>
            <w:tcBorders>
              <w:bottom w:val="single" w:sz="4" w:space="0" w:color="auto"/>
            </w:tcBorders>
          </w:tcPr>
          <w:p w14:paraId="1A9E5E80" w14:textId="77777777" w:rsidR="008F0EAA" w:rsidRDefault="008F0EAA" w:rsidP="00F64233">
            <w:pPr>
              <w:keepNext/>
              <w:jc w:val="center"/>
              <w:cnfStyle w:val="100000000000" w:firstRow="1" w:lastRow="0" w:firstColumn="0" w:lastColumn="0" w:oddVBand="0" w:evenVBand="0" w:oddHBand="0" w:evenHBand="0" w:firstRowFirstColumn="0" w:firstRowLastColumn="0" w:lastRowFirstColumn="0" w:lastRowLastColumn="0"/>
            </w:pPr>
            <w:r>
              <w:t>Configuration Location</w:t>
            </w:r>
          </w:p>
        </w:tc>
      </w:tr>
      <w:tr w:rsidR="008F0EAA" w14:paraId="192B20F4"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AEE73" w14:textId="77777777" w:rsidR="008F0EAA" w:rsidRPr="008E7480" w:rsidRDefault="008F0EAA" w:rsidP="008F0EAA">
            <w:pPr>
              <w:pStyle w:val="ListParagraph"/>
              <w:keepNext/>
              <w:numPr>
                <w:ilvl w:val="0"/>
                <w:numId w:val="44"/>
              </w:numPr>
              <w:ind w:left="600"/>
            </w:pPr>
            <w:r>
              <w:t>Vendor connects directly to asset monitors in substations</w:t>
            </w:r>
          </w:p>
        </w:tc>
        <w:tc>
          <w:tcPr>
            <w:tcW w:w="2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A83E6"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N/A</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2EB63"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N/A</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D3731"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Vendor App</w:t>
            </w:r>
          </w:p>
        </w:tc>
      </w:tr>
      <w:tr w:rsidR="008F0EAA" w14:paraId="3C43F36E" w14:textId="77777777" w:rsidTr="00F64233">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tcPr>
          <w:p w14:paraId="269BF56D" w14:textId="77777777" w:rsidR="008F0EAA" w:rsidRPr="00632D9E" w:rsidRDefault="008F0EAA" w:rsidP="008F0EAA">
            <w:pPr>
              <w:pStyle w:val="ListParagraph"/>
              <w:keepNext/>
              <w:numPr>
                <w:ilvl w:val="0"/>
                <w:numId w:val="44"/>
              </w:numPr>
              <w:ind w:left="600"/>
            </w:pPr>
            <w:r>
              <w:t xml:space="preserve">Loader service pushes data directly to vendor </w:t>
            </w:r>
            <w:proofErr w:type="spellStart"/>
            <w:r>
              <w:t>db</w:t>
            </w:r>
            <w:proofErr w:type="spellEnd"/>
            <w:r>
              <w:t xml:space="preserve"> or files</w:t>
            </w:r>
          </w:p>
        </w:tc>
        <w:tc>
          <w:tcPr>
            <w:tcW w:w="2353" w:type="dxa"/>
            <w:tcBorders>
              <w:top w:val="single" w:sz="4" w:space="0" w:color="auto"/>
              <w:left w:val="single" w:sz="4" w:space="0" w:color="auto"/>
              <w:bottom w:val="single" w:sz="4" w:space="0" w:color="auto"/>
              <w:right w:val="single" w:sz="4" w:space="0" w:color="auto"/>
            </w:tcBorders>
          </w:tcPr>
          <w:p w14:paraId="482326B2"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None</w:t>
            </w:r>
          </w:p>
        </w:tc>
        <w:tc>
          <w:tcPr>
            <w:tcW w:w="1039" w:type="dxa"/>
            <w:tcBorders>
              <w:top w:val="single" w:sz="4" w:space="0" w:color="auto"/>
              <w:left w:val="single" w:sz="4" w:space="0" w:color="auto"/>
              <w:bottom w:val="single" w:sz="4" w:space="0" w:color="auto"/>
              <w:right w:val="single" w:sz="4" w:space="0" w:color="auto"/>
            </w:tcBorders>
          </w:tcPr>
          <w:p w14:paraId="07905B2D"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Yes</w:t>
            </w:r>
          </w:p>
        </w:tc>
        <w:tc>
          <w:tcPr>
            <w:tcW w:w="1469" w:type="dxa"/>
            <w:tcBorders>
              <w:top w:val="single" w:sz="4" w:space="0" w:color="auto"/>
              <w:left w:val="single" w:sz="4" w:space="0" w:color="auto"/>
              <w:bottom w:val="single" w:sz="4" w:space="0" w:color="auto"/>
              <w:right w:val="single" w:sz="4" w:space="0" w:color="auto"/>
            </w:tcBorders>
          </w:tcPr>
          <w:p w14:paraId="48067F06"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Sys Center</w:t>
            </w:r>
          </w:p>
        </w:tc>
      </w:tr>
      <w:tr w:rsidR="008F0EAA" w14:paraId="04CE0926"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DE8C2B" w14:textId="77777777" w:rsidR="008F0EAA" w:rsidRPr="00632D9E" w:rsidRDefault="008F0EAA" w:rsidP="008F0EAA">
            <w:pPr>
              <w:pStyle w:val="ListParagraph"/>
              <w:keepNext/>
              <w:numPr>
                <w:ilvl w:val="0"/>
                <w:numId w:val="44"/>
              </w:numPr>
              <w:ind w:left="600"/>
            </w:pPr>
            <w:r>
              <w:t>Loader services uses a vendor-provided API</w:t>
            </w:r>
          </w:p>
        </w:tc>
        <w:tc>
          <w:tcPr>
            <w:tcW w:w="2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412DC"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Provided by vendor</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42F1B"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Yes</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FE697"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Sys Center</w:t>
            </w:r>
          </w:p>
        </w:tc>
      </w:tr>
      <w:tr w:rsidR="008F0EAA" w14:paraId="5A24B546" w14:textId="77777777" w:rsidTr="00F64233">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tcPr>
          <w:p w14:paraId="6F41A58F" w14:textId="77777777" w:rsidR="008F0EAA" w:rsidRPr="00632D9E" w:rsidRDefault="008F0EAA" w:rsidP="008F0EAA">
            <w:pPr>
              <w:pStyle w:val="ListParagraph"/>
              <w:keepNext/>
              <w:numPr>
                <w:ilvl w:val="0"/>
                <w:numId w:val="44"/>
              </w:numPr>
              <w:ind w:left="600"/>
            </w:pPr>
            <w:r>
              <w:t>The analytics vendor performs input integration using ADI API</w:t>
            </w:r>
          </w:p>
        </w:tc>
        <w:tc>
          <w:tcPr>
            <w:tcW w:w="2353" w:type="dxa"/>
            <w:tcBorders>
              <w:top w:val="single" w:sz="4" w:space="0" w:color="auto"/>
              <w:left w:val="single" w:sz="4" w:space="0" w:color="auto"/>
              <w:bottom w:val="single" w:sz="4" w:space="0" w:color="auto"/>
              <w:right w:val="single" w:sz="4" w:space="0" w:color="auto"/>
            </w:tcBorders>
          </w:tcPr>
          <w:p w14:paraId="447945FA"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ADI Loader API</w:t>
            </w:r>
          </w:p>
        </w:tc>
        <w:tc>
          <w:tcPr>
            <w:tcW w:w="1039" w:type="dxa"/>
            <w:tcBorders>
              <w:top w:val="single" w:sz="4" w:space="0" w:color="auto"/>
              <w:left w:val="single" w:sz="4" w:space="0" w:color="auto"/>
              <w:bottom w:val="single" w:sz="4" w:space="0" w:color="auto"/>
              <w:right w:val="single" w:sz="4" w:space="0" w:color="auto"/>
            </w:tcBorders>
          </w:tcPr>
          <w:p w14:paraId="7B7E585D"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No</w:t>
            </w:r>
          </w:p>
        </w:tc>
        <w:tc>
          <w:tcPr>
            <w:tcW w:w="1469" w:type="dxa"/>
            <w:tcBorders>
              <w:top w:val="single" w:sz="4" w:space="0" w:color="auto"/>
              <w:left w:val="single" w:sz="4" w:space="0" w:color="auto"/>
              <w:bottom w:val="single" w:sz="4" w:space="0" w:color="auto"/>
              <w:right w:val="single" w:sz="4" w:space="0" w:color="auto"/>
            </w:tcBorders>
          </w:tcPr>
          <w:p w14:paraId="3910F21B"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Sys Center</w:t>
            </w:r>
          </w:p>
        </w:tc>
      </w:tr>
      <w:tr w:rsidR="008F0EAA" w14:paraId="16261A9F"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B1280" w14:textId="77777777" w:rsidR="008F0EAA" w:rsidRPr="00632D9E" w:rsidRDefault="008F0EAA" w:rsidP="008F0EAA">
            <w:pPr>
              <w:pStyle w:val="ListParagraph"/>
              <w:keepNext/>
              <w:numPr>
                <w:ilvl w:val="0"/>
                <w:numId w:val="44"/>
              </w:numPr>
              <w:ind w:left="600"/>
            </w:pPr>
            <w:r>
              <w:t>TVA developed applications use ADI API</w:t>
            </w:r>
          </w:p>
        </w:tc>
        <w:tc>
          <w:tcPr>
            <w:tcW w:w="2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118AB2"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ADI Loader API</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2B278"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No</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57D56"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Sys Center</w:t>
            </w:r>
          </w:p>
        </w:tc>
      </w:tr>
      <w:tr w:rsidR="008F0EAA" w14:paraId="54CCA5E9" w14:textId="77777777" w:rsidTr="00F64233">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tcPr>
          <w:p w14:paraId="4ED7F916" w14:textId="77777777" w:rsidR="008F0EAA" w:rsidRPr="00632D9E" w:rsidRDefault="008F0EAA" w:rsidP="008F0EAA">
            <w:pPr>
              <w:pStyle w:val="ListParagraph"/>
              <w:keepNext/>
              <w:numPr>
                <w:ilvl w:val="0"/>
                <w:numId w:val="44"/>
              </w:numPr>
              <w:ind w:left="600"/>
            </w:pPr>
            <w:r>
              <w:t>TVA data scientists use condition data for local analytics</w:t>
            </w:r>
          </w:p>
        </w:tc>
        <w:tc>
          <w:tcPr>
            <w:tcW w:w="2353" w:type="dxa"/>
            <w:tcBorders>
              <w:top w:val="single" w:sz="4" w:space="0" w:color="auto"/>
              <w:left w:val="single" w:sz="4" w:space="0" w:color="auto"/>
              <w:bottom w:val="single" w:sz="4" w:space="0" w:color="auto"/>
              <w:right w:val="single" w:sz="4" w:space="0" w:color="auto"/>
            </w:tcBorders>
          </w:tcPr>
          <w:p w14:paraId="4E7BAB17"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ADI Loader API</w:t>
            </w:r>
          </w:p>
        </w:tc>
        <w:tc>
          <w:tcPr>
            <w:tcW w:w="1039" w:type="dxa"/>
            <w:tcBorders>
              <w:top w:val="single" w:sz="4" w:space="0" w:color="auto"/>
              <w:left w:val="single" w:sz="4" w:space="0" w:color="auto"/>
              <w:bottom w:val="single" w:sz="4" w:space="0" w:color="auto"/>
              <w:right w:val="single" w:sz="4" w:space="0" w:color="auto"/>
            </w:tcBorders>
          </w:tcPr>
          <w:p w14:paraId="795F72FC"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No</w:t>
            </w:r>
          </w:p>
        </w:tc>
        <w:tc>
          <w:tcPr>
            <w:tcW w:w="1469" w:type="dxa"/>
            <w:tcBorders>
              <w:top w:val="single" w:sz="4" w:space="0" w:color="auto"/>
              <w:left w:val="single" w:sz="4" w:space="0" w:color="auto"/>
              <w:bottom w:val="single" w:sz="4" w:space="0" w:color="auto"/>
              <w:right w:val="single" w:sz="4" w:space="0" w:color="auto"/>
            </w:tcBorders>
          </w:tcPr>
          <w:p w14:paraId="5DCB2162"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Sys Center</w:t>
            </w:r>
          </w:p>
        </w:tc>
      </w:tr>
      <w:tr w:rsidR="008F0EAA" w14:paraId="6B032C52"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auto"/>
              <w:right w:val="single" w:sz="4" w:space="0" w:color="auto"/>
            </w:tcBorders>
          </w:tcPr>
          <w:p w14:paraId="4A05B868" w14:textId="77777777" w:rsidR="008F0EAA" w:rsidRDefault="008F0EAA" w:rsidP="008F0EAA">
            <w:pPr>
              <w:pStyle w:val="ListParagraph"/>
              <w:keepNext/>
              <w:numPr>
                <w:ilvl w:val="0"/>
                <w:numId w:val="44"/>
              </w:numPr>
              <w:ind w:left="600"/>
            </w:pPr>
            <w:r>
              <w:t>Condition data provided to cloud-based analytics</w:t>
            </w:r>
          </w:p>
        </w:tc>
        <w:tc>
          <w:tcPr>
            <w:tcW w:w="2353" w:type="dxa"/>
            <w:tcBorders>
              <w:top w:val="single" w:sz="4" w:space="0" w:color="auto"/>
              <w:left w:val="single" w:sz="4" w:space="0" w:color="auto"/>
              <w:bottom w:val="single" w:sz="4" w:space="0" w:color="auto"/>
              <w:right w:val="single" w:sz="4" w:space="0" w:color="auto"/>
            </w:tcBorders>
          </w:tcPr>
          <w:p w14:paraId="588042AD"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ADI Azure API</w:t>
            </w:r>
          </w:p>
        </w:tc>
        <w:tc>
          <w:tcPr>
            <w:tcW w:w="1039" w:type="dxa"/>
            <w:tcBorders>
              <w:top w:val="single" w:sz="4" w:space="0" w:color="auto"/>
              <w:left w:val="single" w:sz="4" w:space="0" w:color="auto"/>
              <w:bottom w:val="single" w:sz="4" w:space="0" w:color="auto"/>
              <w:right w:val="single" w:sz="4" w:space="0" w:color="auto"/>
            </w:tcBorders>
          </w:tcPr>
          <w:p w14:paraId="4B8AB8F8"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No</w:t>
            </w:r>
          </w:p>
        </w:tc>
        <w:tc>
          <w:tcPr>
            <w:tcW w:w="1469" w:type="dxa"/>
            <w:tcBorders>
              <w:top w:val="single" w:sz="4" w:space="0" w:color="auto"/>
              <w:left w:val="single" w:sz="4" w:space="0" w:color="auto"/>
              <w:bottom w:val="single" w:sz="4" w:space="0" w:color="auto"/>
              <w:right w:val="single" w:sz="4" w:space="0" w:color="auto"/>
            </w:tcBorders>
          </w:tcPr>
          <w:p w14:paraId="23E6DEEF"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Sys Center</w:t>
            </w:r>
          </w:p>
        </w:tc>
      </w:tr>
    </w:tbl>
    <w:p w14:paraId="73C83A26" w14:textId="77777777" w:rsidR="008F0EAA" w:rsidRPr="00D462AD" w:rsidRDefault="008F0EAA" w:rsidP="008F0EAA">
      <w:pPr>
        <w:pStyle w:val="FigureDesc"/>
      </w:pPr>
      <w:r>
        <w:t>Table 1. Use Cases for Providing Asset Condition Data to Analytics</w:t>
      </w:r>
    </w:p>
    <w:p w14:paraId="636BC774" w14:textId="77777777" w:rsidR="008F0EAA" w:rsidRPr="00D462AD" w:rsidRDefault="008F0EAA" w:rsidP="008F0EAA">
      <w:pPr>
        <w:keepNext/>
        <w:spacing w:before="120"/>
        <w:jc w:val="center"/>
        <w:rPr>
          <w:b/>
          <w:bCs/>
          <w:color w:val="FFFFFF" w:themeColor="background1"/>
        </w:rPr>
      </w:pPr>
    </w:p>
    <w:p w14:paraId="38CF8C86" w14:textId="77777777" w:rsidR="008F0EAA" w:rsidRDefault="008F0EAA" w:rsidP="008F0EAA">
      <w:pPr>
        <w:pStyle w:val="Body"/>
      </w:pPr>
      <w:r>
        <w:t>In addition, the openADI Data Validation &amp; Loader Service is storing information about the asset monitoring process in the Database Service. This includes a log of which asset health analytics is using what data and the associated data quality. This feature can be used by SME’s to determine the reliability of specific asset health analytics and provide visibility into the dataflows in the system.</w:t>
      </w:r>
    </w:p>
    <w:p w14:paraId="0D4ED34A" w14:textId="77777777" w:rsidR="008F0EAA" w:rsidRPr="005C32EB" w:rsidRDefault="008F0EAA" w:rsidP="008F0EAA">
      <w:pPr>
        <w:pStyle w:val="Heading4"/>
      </w:pPr>
      <w:r w:rsidRPr="005C32EB">
        <w:t>2 - openADI Results Service</w:t>
      </w:r>
    </w:p>
    <w:p w14:paraId="240C72DC" w14:textId="77777777" w:rsidR="008F0EAA" w:rsidRDefault="008F0EAA" w:rsidP="008F0EAA">
      <w:pPr>
        <w:pStyle w:val="Body"/>
      </w:pPr>
      <w:r>
        <w:t xml:space="preserve">The </w:t>
      </w:r>
      <w:r w:rsidRPr="00C17686">
        <w:t xml:space="preserve">openADI Results Service </w:t>
      </w:r>
      <w:r>
        <w:t>provides aggregation of the asset health analytics results. The service connects to the asset health analytics and collects all outputs of these analytics. The Results Service stores these results in the openADI Database. Because the service has access to all asset health analytics results it can be used for alarming and notification based on these results. It provides Transmission Asset SMEs with the ability to set alarm limits based on asset health analysis and send out email notifications to designated personnel. In addition, the Results Service also provides the ability to schedule and distribute asset health reports.</w:t>
      </w:r>
    </w:p>
    <w:p w14:paraId="0C9F2583" w14:textId="77777777" w:rsidR="008F0EAA" w:rsidRDefault="008F0EAA" w:rsidP="008F0EAA">
      <w:pPr>
        <w:pStyle w:val="Body"/>
      </w:pPr>
      <w:r>
        <w:t xml:space="preserve">Because the Results Service has access to the results of all analytics it can also be used to compute an aggregated Asset Health Index (AHI). This AHI can be distributed to other systems, such as Copperleaf, to allow external systems to get an estimate of the assets health without having to deal with multiple analytic results.  </w:t>
      </w:r>
    </w:p>
    <w:p w14:paraId="506EBFEC" w14:textId="0332078C" w:rsidR="008F0EAA" w:rsidRPr="00E34B4B" w:rsidRDefault="008F0EAA" w:rsidP="008F0EAA">
      <w:pPr>
        <w:pStyle w:val="Body"/>
      </w:pPr>
      <w:r>
        <w:t xml:space="preserve">In </w:t>
      </w:r>
      <w:r w:rsidR="0034031E">
        <w:t>Figure 7</w:t>
      </w:r>
      <w:r>
        <w:t>, six use cases are shown to highlight the most likely implementation approaches to successfully implement best-in-class analytics. The results layer of the openADI Tool Suite will be tasked with collecting the results of the analytics, alerting and reporting of these results and compu</w:t>
      </w:r>
      <w:r w:rsidRPr="00E34B4B">
        <w:t xml:space="preserve">ting an aggregated AHI. </w:t>
      </w:r>
    </w:p>
    <w:p w14:paraId="43C59674" w14:textId="77777777" w:rsidR="008F0EAA" w:rsidRPr="00E34B4B" w:rsidRDefault="008F0EAA" w:rsidP="008F0EAA">
      <w:pPr>
        <w:pStyle w:val="Body"/>
      </w:pPr>
      <w:r w:rsidRPr="00E34B4B">
        <w:t>The most common</w:t>
      </w:r>
      <w:r>
        <w:t xml:space="preserve"> configurations to interface the Results Service with the analytics are:</w:t>
      </w:r>
    </w:p>
    <w:p w14:paraId="0E29B231" w14:textId="77777777" w:rsidR="008F0EAA" w:rsidRDefault="008F0EAA" w:rsidP="008F0EAA"/>
    <w:tbl>
      <w:tblPr>
        <w:tblStyle w:val="ListTable4"/>
        <w:tblW w:w="0" w:type="auto"/>
        <w:tblLook w:val="04A0" w:firstRow="1" w:lastRow="0" w:firstColumn="1" w:lastColumn="0" w:noHBand="0" w:noVBand="1"/>
      </w:tblPr>
      <w:tblGrid>
        <w:gridCol w:w="4585"/>
        <w:gridCol w:w="2877"/>
        <w:gridCol w:w="1082"/>
      </w:tblGrid>
      <w:tr w:rsidR="008F0EAA" w14:paraId="0DC4831D" w14:textId="77777777" w:rsidTr="00F64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bottom w:val="single" w:sz="4" w:space="0" w:color="auto"/>
            </w:tcBorders>
          </w:tcPr>
          <w:p w14:paraId="70A5B14D" w14:textId="77777777" w:rsidR="008F0EAA" w:rsidRDefault="008F0EAA" w:rsidP="00F64233">
            <w:pPr>
              <w:keepNext/>
              <w:spacing w:before="120"/>
              <w:jc w:val="center"/>
            </w:pPr>
            <w:r>
              <w:lastRenderedPageBreak/>
              <w:t>Analytics Results Use Case</w:t>
            </w:r>
          </w:p>
        </w:tc>
        <w:tc>
          <w:tcPr>
            <w:tcW w:w="2877" w:type="dxa"/>
            <w:tcBorders>
              <w:bottom w:val="single" w:sz="4" w:space="0" w:color="auto"/>
            </w:tcBorders>
          </w:tcPr>
          <w:p w14:paraId="1F8FDD52" w14:textId="77777777" w:rsidR="008F0EAA" w:rsidRDefault="008F0EAA" w:rsidP="00F64233">
            <w:pPr>
              <w:keepNext/>
              <w:spacing w:before="120"/>
              <w:jc w:val="center"/>
              <w:cnfStyle w:val="100000000000" w:firstRow="1" w:lastRow="0" w:firstColumn="0" w:lastColumn="0" w:oddVBand="0" w:evenVBand="0" w:oddHBand="0" w:evenHBand="0" w:firstRowFirstColumn="0" w:firstRowLastColumn="0" w:lastRowFirstColumn="0" w:lastRowLastColumn="0"/>
            </w:pPr>
            <w:r>
              <w:t>API</w:t>
            </w:r>
          </w:p>
        </w:tc>
        <w:tc>
          <w:tcPr>
            <w:tcW w:w="1082" w:type="dxa"/>
            <w:tcBorders>
              <w:bottom w:val="single" w:sz="4" w:space="0" w:color="auto"/>
            </w:tcBorders>
          </w:tcPr>
          <w:p w14:paraId="6D2A607D" w14:textId="77777777" w:rsidR="008F0EAA" w:rsidRDefault="008F0EAA" w:rsidP="00F64233">
            <w:pPr>
              <w:keepNext/>
              <w:jc w:val="center"/>
              <w:cnfStyle w:val="100000000000" w:firstRow="1" w:lastRow="0" w:firstColumn="0" w:lastColumn="0" w:oddVBand="0" w:evenVBand="0" w:oddHBand="0" w:evenHBand="0" w:firstRowFirstColumn="0" w:firstRowLastColumn="0" w:lastRowFirstColumn="0" w:lastRowLastColumn="0"/>
            </w:pPr>
            <w:r>
              <w:t>Custom Interface</w:t>
            </w:r>
          </w:p>
        </w:tc>
      </w:tr>
      <w:tr w:rsidR="008F0EAA" w14:paraId="7B206B35"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6B1FF" w14:textId="77777777" w:rsidR="008F0EAA" w:rsidRPr="008E7480" w:rsidRDefault="008F0EAA" w:rsidP="008F0EAA">
            <w:pPr>
              <w:pStyle w:val="ListParagraph"/>
              <w:keepNext/>
              <w:numPr>
                <w:ilvl w:val="0"/>
                <w:numId w:val="45"/>
              </w:numPr>
              <w:ind w:left="600"/>
            </w:pPr>
            <w:r>
              <w:t>Interface is developed using vendor-provided database or files</w:t>
            </w:r>
          </w:p>
        </w:tc>
        <w:tc>
          <w:tcPr>
            <w:tcW w:w="2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761E6"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None</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37B5D"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Yes</w:t>
            </w:r>
          </w:p>
        </w:tc>
      </w:tr>
      <w:tr w:rsidR="008F0EAA" w14:paraId="662EFC50" w14:textId="77777777" w:rsidTr="00F64233">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tcPr>
          <w:p w14:paraId="25BDDAF3" w14:textId="77777777" w:rsidR="008F0EAA" w:rsidRPr="00632D9E" w:rsidRDefault="008F0EAA" w:rsidP="008F0EAA">
            <w:pPr>
              <w:pStyle w:val="ListParagraph"/>
              <w:keepNext/>
              <w:numPr>
                <w:ilvl w:val="0"/>
                <w:numId w:val="45"/>
              </w:numPr>
              <w:ind w:left="600"/>
            </w:pPr>
            <w:r>
              <w:t>The interface uses a vendor-provided API</w:t>
            </w:r>
          </w:p>
        </w:tc>
        <w:tc>
          <w:tcPr>
            <w:tcW w:w="2877" w:type="dxa"/>
            <w:tcBorders>
              <w:top w:val="single" w:sz="4" w:space="0" w:color="auto"/>
              <w:left w:val="single" w:sz="4" w:space="0" w:color="auto"/>
              <w:bottom w:val="single" w:sz="4" w:space="0" w:color="auto"/>
              <w:right w:val="single" w:sz="4" w:space="0" w:color="auto"/>
            </w:tcBorders>
          </w:tcPr>
          <w:p w14:paraId="7F855824"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Provided by vendor</w:t>
            </w:r>
          </w:p>
        </w:tc>
        <w:tc>
          <w:tcPr>
            <w:tcW w:w="1082" w:type="dxa"/>
            <w:tcBorders>
              <w:top w:val="single" w:sz="4" w:space="0" w:color="auto"/>
              <w:left w:val="single" w:sz="4" w:space="0" w:color="auto"/>
              <w:bottom w:val="single" w:sz="4" w:space="0" w:color="auto"/>
              <w:right w:val="single" w:sz="4" w:space="0" w:color="auto"/>
            </w:tcBorders>
          </w:tcPr>
          <w:p w14:paraId="3993624D"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Yes</w:t>
            </w:r>
          </w:p>
        </w:tc>
      </w:tr>
      <w:tr w:rsidR="008F0EAA" w14:paraId="123F6222"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268D2" w14:textId="77777777" w:rsidR="008F0EAA" w:rsidRPr="00632D9E" w:rsidRDefault="008F0EAA" w:rsidP="008F0EAA">
            <w:pPr>
              <w:pStyle w:val="ListParagraph"/>
              <w:keepNext/>
              <w:numPr>
                <w:ilvl w:val="0"/>
                <w:numId w:val="45"/>
              </w:numPr>
              <w:ind w:left="600"/>
            </w:pPr>
            <w:r>
              <w:t>The analytics vendor performs results integration using the openADI API</w:t>
            </w:r>
          </w:p>
        </w:tc>
        <w:tc>
          <w:tcPr>
            <w:tcW w:w="2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C1F60"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ADI Results Service API</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DC6C9C"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No</w:t>
            </w:r>
          </w:p>
        </w:tc>
      </w:tr>
      <w:tr w:rsidR="008F0EAA" w14:paraId="5DCDF047" w14:textId="77777777" w:rsidTr="00F64233">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tcPr>
          <w:p w14:paraId="24A47471" w14:textId="77777777" w:rsidR="008F0EAA" w:rsidRPr="00632D9E" w:rsidRDefault="008F0EAA" w:rsidP="008F0EAA">
            <w:pPr>
              <w:pStyle w:val="ListParagraph"/>
              <w:keepNext/>
              <w:numPr>
                <w:ilvl w:val="0"/>
                <w:numId w:val="45"/>
              </w:numPr>
              <w:ind w:left="600"/>
            </w:pPr>
            <w:r>
              <w:t>Results provided by a TVA-developed application</w:t>
            </w:r>
          </w:p>
        </w:tc>
        <w:tc>
          <w:tcPr>
            <w:tcW w:w="2877" w:type="dxa"/>
            <w:tcBorders>
              <w:top w:val="single" w:sz="4" w:space="0" w:color="auto"/>
              <w:left w:val="single" w:sz="4" w:space="0" w:color="auto"/>
              <w:bottom w:val="single" w:sz="4" w:space="0" w:color="auto"/>
              <w:right w:val="single" w:sz="4" w:space="0" w:color="auto"/>
            </w:tcBorders>
          </w:tcPr>
          <w:p w14:paraId="5413CE78"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ADI Results Service API</w:t>
            </w:r>
          </w:p>
        </w:tc>
        <w:tc>
          <w:tcPr>
            <w:tcW w:w="1082" w:type="dxa"/>
            <w:tcBorders>
              <w:top w:val="single" w:sz="4" w:space="0" w:color="auto"/>
              <w:left w:val="single" w:sz="4" w:space="0" w:color="auto"/>
              <w:bottom w:val="single" w:sz="4" w:space="0" w:color="auto"/>
              <w:right w:val="single" w:sz="4" w:space="0" w:color="auto"/>
            </w:tcBorders>
          </w:tcPr>
          <w:p w14:paraId="16E4AD02"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No</w:t>
            </w:r>
          </w:p>
        </w:tc>
      </w:tr>
      <w:tr w:rsidR="008F0EAA" w14:paraId="21C9ABCE" w14:textId="77777777" w:rsidTr="00F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7C9BB" w14:textId="77777777" w:rsidR="008F0EAA" w:rsidRPr="00632D9E" w:rsidRDefault="008F0EAA" w:rsidP="008F0EAA">
            <w:pPr>
              <w:pStyle w:val="ListParagraph"/>
              <w:keepNext/>
              <w:numPr>
                <w:ilvl w:val="0"/>
                <w:numId w:val="45"/>
              </w:numPr>
              <w:ind w:left="600"/>
            </w:pPr>
            <w:r>
              <w:t>Results provided from TVA data scientists running local analytic tools</w:t>
            </w:r>
          </w:p>
        </w:tc>
        <w:tc>
          <w:tcPr>
            <w:tcW w:w="2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E107"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ADI Results Service API</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F9811" w14:textId="77777777" w:rsidR="008F0EAA" w:rsidRDefault="008F0EAA" w:rsidP="00F64233">
            <w:pPr>
              <w:keepNext/>
              <w:spacing w:before="120"/>
              <w:ind w:left="144"/>
              <w:cnfStyle w:val="000000100000" w:firstRow="0" w:lastRow="0" w:firstColumn="0" w:lastColumn="0" w:oddVBand="0" w:evenVBand="0" w:oddHBand="1" w:evenHBand="0" w:firstRowFirstColumn="0" w:firstRowLastColumn="0" w:lastRowFirstColumn="0" w:lastRowLastColumn="0"/>
            </w:pPr>
            <w:r>
              <w:t>No</w:t>
            </w:r>
          </w:p>
        </w:tc>
      </w:tr>
      <w:tr w:rsidR="008F0EAA" w14:paraId="3A9CB7DC" w14:textId="77777777" w:rsidTr="00F64233">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auto"/>
              <w:left w:val="single" w:sz="4" w:space="0" w:color="auto"/>
              <w:bottom w:val="single" w:sz="4" w:space="0" w:color="auto"/>
              <w:right w:val="single" w:sz="4" w:space="0" w:color="auto"/>
            </w:tcBorders>
          </w:tcPr>
          <w:p w14:paraId="50D0B954" w14:textId="77777777" w:rsidR="008F0EAA" w:rsidRPr="00632D9E" w:rsidRDefault="008F0EAA" w:rsidP="008F0EAA">
            <w:pPr>
              <w:pStyle w:val="ListParagraph"/>
              <w:keepNext/>
              <w:numPr>
                <w:ilvl w:val="0"/>
                <w:numId w:val="45"/>
              </w:numPr>
              <w:ind w:left="600"/>
            </w:pPr>
            <w:r>
              <w:t>Results provided from TVA cloud hosted analytics</w:t>
            </w:r>
          </w:p>
        </w:tc>
        <w:tc>
          <w:tcPr>
            <w:tcW w:w="2877" w:type="dxa"/>
            <w:tcBorders>
              <w:top w:val="single" w:sz="4" w:space="0" w:color="auto"/>
              <w:left w:val="single" w:sz="4" w:space="0" w:color="auto"/>
              <w:bottom w:val="single" w:sz="4" w:space="0" w:color="auto"/>
              <w:right w:val="single" w:sz="4" w:space="0" w:color="auto"/>
            </w:tcBorders>
          </w:tcPr>
          <w:p w14:paraId="7262ADE5"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ADI Results Service API</w:t>
            </w:r>
          </w:p>
        </w:tc>
        <w:tc>
          <w:tcPr>
            <w:tcW w:w="1082" w:type="dxa"/>
            <w:tcBorders>
              <w:top w:val="single" w:sz="4" w:space="0" w:color="auto"/>
              <w:left w:val="single" w:sz="4" w:space="0" w:color="auto"/>
              <w:bottom w:val="single" w:sz="4" w:space="0" w:color="auto"/>
              <w:right w:val="single" w:sz="4" w:space="0" w:color="auto"/>
            </w:tcBorders>
          </w:tcPr>
          <w:p w14:paraId="4EB616FD" w14:textId="77777777" w:rsidR="008F0EAA" w:rsidRDefault="008F0EAA" w:rsidP="00F64233">
            <w:pPr>
              <w:keepNext/>
              <w:spacing w:before="120"/>
              <w:ind w:left="144"/>
              <w:cnfStyle w:val="000000000000" w:firstRow="0" w:lastRow="0" w:firstColumn="0" w:lastColumn="0" w:oddVBand="0" w:evenVBand="0" w:oddHBand="0" w:evenHBand="0" w:firstRowFirstColumn="0" w:firstRowLastColumn="0" w:lastRowFirstColumn="0" w:lastRowLastColumn="0"/>
            </w:pPr>
            <w:r>
              <w:t>No</w:t>
            </w:r>
          </w:p>
        </w:tc>
      </w:tr>
    </w:tbl>
    <w:p w14:paraId="2946457F" w14:textId="77777777" w:rsidR="008F0EAA" w:rsidRDefault="008F0EAA" w:rsidP="008F0EAA">
      <w:pPr>
        <w:pStyle w:val="FigureDesc"/>
      </w:pPr>
      <w:r>
        <w:t>Table 2. Use Cases for Obtaining Results Data From Analytics</w:t>
      </w:r>
    </w:p>
    <w:p w14:paraId="07E4D30F" w14:textId="77777777" w:rsidR="008F0EAA" w:rsidRDefault="008F0EAA" w:rsidP="008F0EAA">
      <w:pPr>
        <w:pStyle w:val="FigureDesc"/>
      </w:pPr>
    </w:p>
    <w:p w14:paraId="7081A995" w14:textId="77777777" w:rsidR="008F0EAA" w:rsidRDefault="008F0EAA" w:rsidP="008F0EAA">
      <w:pPr>
        <w:pStyle w:val="figure"/>
      </w:pPr>
      <w:r>
        <w:drawing>
          <wp:inline distT="0" distB="0" distL="0" distR="0" wp14:anchorId="2B7F6A6A" wp14:editId="5222295E">
            <wp:extent cx="5476875" cy="2714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2714625"/>
                    </a:xfrm>
                    <a:prstGeom prst="rect">
                      <a:avLst/>
                    </a:prstGeom>
                    <a:noFill/>
                    <a:ln>
                      <a:noFill/>
                    </a:ln>
                  </pic:spPr>
                </pic:pic>
              </a:graphicData>
            </a:graphic>
          </wp:inline>
        </w:drawing>
      </w:r>
    </w:p>
    <w:p w14:paraId="3953AFBE" w14:textId="7690B174" w:rsidR="008F0EAA" w:rsidRDefault="008F0EAA" w:rsidP="008F0EAA">
      <w:pPr>
        <w:pStyle w:val="FigureDesc"/>
      </w:pPr>
      <w:r>
        <w:t>Fi</w:t>
      </w:r>
      <w:r w:rsidR="00445377">
        <w:t>gure</w:t>
      </w:r>
      <w:r>
        <w:t xml:space="preserve"> </w:t>
      </w:r>
      <w:r w:rsidR="0034031E">
        <w:t>7</w:t>
      </w:r>
      <w:r>
        <w:t>. Results Integration Options for the APC</w:t>
      </w:r>
    </w:p>
    <w:p w14:paraId="5A89D42E" w14:textId="77777777" w:rsidR="008F0EAA" w:rsidRDefault="008F0EAA" w:rsidP="008F0EAA">
      <w:pPr>
        <w:pStyle w:val="Heading4"/>
      </w:pPr>
      <w:r>
        <w:t>3 - openADI Database</w:t>
      </w:r>
    </w:p>
    <w:p w14:paraId="749DBF7A" w14:textId="77777777" w:rsidR="008F0EAA" w:rsidRPr="00683EB8" w:rsidRDefault="008F0EAA" w:rsidP="008F0EAA">
      <w:pPr>
        <w:pStyle w:val="Body"/>
        <w:rPr>
          <w:vanish/>
        </w:rPr>
      </w:pPr>
      <w:r>
        <w:t xml:space="preserve">Similar to openXDA that is currently installed at TVA, the openADI will feature a database system based on MS SQL Server for most metadata and an openHistorian datastore for timeseries data. </w:t>
      </w:r>
    </w:p>
    <w:p w14:paraId="62C79232" w14:textId="77777777" w:rsidR="008F0EAA" w:rsidRDefault="008F0EAA" w:rsidP="008F0EAA">
      <w:pPr>
        <w:pStyle w:val="Body"/>
      </w:pPr>
      <w:r>
        <w:t>The openADI Database also provides a data store for any additional asset information that should be attached to assets but does not reside in a data source system connected to the openADI Data Validation &amp; Loader Service. In addition, the openADI Database is responsible for logging all events in the openADI, which includes the use of data in any analytics to track data flows.</w:t>
      </w:r>
    </w:p>
    <w:p w14:paraId="1D407124" w14:textId="77777777" w:rsidR="008F0EAA" w:rsidRDefault="008F0EAA" w:rsidP="008F0EAA">
      <w:pPr>
        <w:pStyle w:val="Heading4"/>
      </w:pPr>
      <w:r>
        <w:t>4 - openADI System Center</w:t>
      </w:r>
    </w:p>
    <w:p w14:paraId="4C4137E9" w14:textId="77777777" w:rsidR="008F0EAA" w:rsidRDefault="008F0EAA" w:rsidP="008F0EAA">
      <w:pPr>
        <w:pStyle w:val="Body"/>
      </w:pPr>
      <w:r>
        <w:t xml:space="preserve">openADI System Center is a web-based application that allows the user to manage configuration of all components in this architecture. It provides user management to all other openADI </w:t>
      </w:r>
      <w:r>
        <w:lastRenderedPageBreak/>
        <w:t>components. Through integration with active directory services it enables TVA to manage access to asset monitoring data and asset performance analytic results based on TVA credentials. It allows TVA to specify access rights for specific users as well as roles based on job title and job description within Active Directory.</w:t>
      </w:r>
    </w:p>
    <w:p w14:paraId="7D0ACA92" w14:textId="691A2B63" w:rsidR="008F0EAA" w:rsidRDefault="008F0EAA" w:rsidP="008F0EAA">
      <w:pPr>
        <w:pStyle w:val="Body"/>
      </w:pPr>
      <w:r>
        <w:t>openADI System Center also provides a single place to manage asset key mappings within the proposed architecture. This means any measurements or property from the data sources, including, but not limited to eDNA points, transformer oil analysis results from TOA4, asset age from Maximo etc., can be mapped to an individual asset based on its key in TVA</w:t>
      </w:r>
      <w:r w:rsidR="00445377">
        <w:t>’</w:t>
      </w:r>
      <w:r>
        <w:t>s main asset registry system. By keeping this mapping current TVA can ensure any asset performance analytic has access to the data it needs to perform analysis of a specific asset.</w:t>
      </w:r>
    </w:p>
    <w:p w14:paraId="220A3695" w14:textId="0F99BD3F" w:rsidR="008F0EAA" w:rsidRDefault="0095719E" w:rsidP="008F0EAA">
      <w:pPr>
        <w:pStyle w:val="Heading4"/>
      </w:pPr>
      <w:r>
        <w:t xml:space="preserve">5 - </w:t>
      </w:r>
      <w:r w:rsidR="00CA536A">
        <w:t xml:space="preserve">Transmission </w:t>
      </w:r>
      <w:r w:rsidR="008F0EAA">
        <w:t xml:space="preserve">APC </w:t>
      </w:r>
      <w:r w:rsidR="001377A6">
        <w:t xml:space="preserve">Integrated </w:t>
      </w:r>
      <w:r w:rsidR="008F0EAA">
        <w:t>Visualizations</w:t>
      </w:r>
    </w:p>
    <w:p w14:paraId="4C8744E4" w14:textId="0AB96651" w:rsidR="000F7E12" w:rsidRDefault="000F7E12" w:rsidP="008F0EAA">
      <w:pPr>
        <w:pStyle w:val="Body"/>
      </w:pPr>
      <w:r>
        <w:t xml:space="preserve">While </w:t>
      </w:r>
      <w:r w:rsidR="00342D1C">
        <w:t xml:space="preserve">GPA </w:t>
      </w:r>
      <w:r w:rsidR="00F75996">
        <w:t>is not proposing visualization as part of A</w:t>
      </w:r>
      <w:r w:rsidR="0014659F">
        <w:t>sset Data Aggregation</w:t>
      </w:r>
      <w:r w:rsidR="00366144">
        <w:t xml:space="preserve">, </w:t>
      </w:r>
      <w:r w:rsidR="009547D4">
        <w:t>GPA has included</w:t>
      </w:r>
      <w:r w:rsidR="009A3DE3">
        <w:t xml:space="preserve"> support </w:t>
      </w:r>
      <w:r w:rsidR="003B13C4">
        <w:t xml:space="preserve">hours </w:t>
      </w:r>
      <w:r w:rsidR="003151AD">
        <w:t>i</w:t>
      </w:r>
      <w:r w:rsidR="003B13C4">
        <w:t>n this proposal</w:t>
      </w:r>
      <w:r w:rsidR="006F09C2">
        <w:t xml:space="preserve"> </w:t>
      </w:r>
      <w:r w:rsidR="003151AD">
        <w:t xml:space="preserve">so that </w:t>
      </w:r>
      <w:r w:rsidR="00366144">
        <w:t xml:space="preserve">GPA </w:t>
      </w:r>
      <w:r w:rsidR="006F09C2">
        <w:t>can</w:t>
      </w:r>
      <w:r w:rsidR="00B933C2">
        <w:t xml:space="preserve"> </w:t>
      </w:r>
      <w:r w:rsidR="006F09C2">
        <w:t xml:space="preserve">provide </w:t>
      </w:r>
      <w:r w:rsidR="00366144">
        <w:t xml:space="preserve">services to assist TVA with </w:t>
      </w:r>
      <w:r w:rsidR="00EA0ACB">
        <w:t xml:space="preserve">the visualization tools </w:t>
      </w:r>
      <w:r w:rsidR="001C0817">
        <w:t>that would be of most value for the Transmission Asset Per</w:t>
      </w:r>
      <w:r w:rsidR="00D97398">
        <w:t>formance Center</w:t>
      </w:r>
      <w:r w:rsidR="00290ABA">
        <w:t xml:space="preserve">.  </w:t>
      </w:r>
    </w:p>
    <w:p w14:paraId="104BED40" w14:textId="63A07E81" w:rsidR="005039DB" w:rsidRDefault="005039DB" w:rsidP="008F0EAA">
      <w:pPr>
        <w:pStyle w:val="Body"/>
      </w:pPr>
      <w:r>
        <w:t xml:space="preserve">To be relevant and effective, GPA believes that </w:t>
      </w:r>
      <w:r w:rsidR="00467917">
        <w:t xml:space="preserve">the Transmission APC </w:t>
      </w:r>
      <w:r>
        <w:t xml:space="preserve">should be as much virtual as it is physical with the ability </w:t>
      </w:r>
      <w:r w:rsidR="0089049F">
        <w:t xml:space="preserve">to project asset </w:t>
      </w:r>
      <w:r w:rsidR="0059330D">
        <w:t xml:space="preserve">health </w:t>
      </w:r>
      <w:r w:rsidR="007C6700">
        <w:t xml:space="preserve">to </w:t>
      </w:r>
      <w:r w:rsidR="009E63C1">
        <w:t>any</w:t>
      </w:r>
      <w:r w:rsidR="007C6700">
        <w:t xml:space="preserve"> TPS&amp;S </w:t>
      </w:r>
      <w:r w:rsidR="00521205">
        <w:t>employee</w:t>
      </w:r>
      <w:r w:rsidR="009E63C1">
        <w:t xml:space="preserve"> </w:t>
      </w:r>
      <w:r w:rsidR="00A274E3">
        <w:t>that needs this information</w:t>
      </w:r>
      <w:r w:rsidR="00521205">
        <w:t xml:space="preserve"> as well as </w:t>
      </w:r>
      <w:r w:rsidR="00A274E3">
        <w:t xml:space="preserve">to those in </w:t>
      </w:r>
      <w:r w:rsidR="00521205">
        <w:t>TPS&amp;S client organizations.</w:t>
      </w:r>
    </w:p>
    <w:p w14:paraId="6968B79B" w14:textId="3DFFD5A4" w:rsidR="00B70905" w:rsidRDefault="00335657" w:rsidP="008F0EAA">
      <w:pPr>
        <w:pStyle w:val="Body"/>
      </w:pPr>
      <w:r>
        <w:t xml:space="preserve">In the requirements spreadsheet (Attachment 5), GPA has indicated that we can meet all mandatory requirements for asset data aggregation – including those relating to visualization.  </w:t>
      </w:r>
      <w:r w:rsidR="00672573">
        <w:t xml:space="preserve">However, </w:t>
      </w:r>
      <w:r w:rsidR="00054FAD">
        <w:t xml:space="preserve">GPA </w:t>
      </w:r>
      <w:r w:rsidR="00223045">
        <w:t>b</w:t>
      </w:r>
      <w:r w:rsidR="00672573">
        <w:t>e</w:t>
      </w:r>
      <w:r w:rsidR="00054FAD">
        <w:t>lieves th</w:t>
      </w:r>
      <w:r w:rsidR="00243965">
        <w:t>at</w:t>
      </w:r>
      <w:r w:rsidR="005B3E79">
        <w:t xml:space="preserve"> the preferred</w:t>
      </w:r>
      <w:r w:rsidR="00197CFF">
        <w:t xml:space="preserve"> visualization</w:t>
      </w:r>
      <w:r w:rsidR="005B3E79">
        <w:t xml:space="preserve"> tools will be a mix </w:t>
      </w:r>
      <w:r w:rsidR="00197CFF">
        <w:t xml:space="preserve">of </w:t>
      </w:r>
      <w:r w:rsidR="004D2543">
        <w:t>display</w:t>
      </w:r>
      <w:r w:rsidR="00C96557">
        <w:t>s</w:t>
      </w:r>
      <w:r w:rsidR="004D2543">
        <w:t xml:space="preserve"> provided by vendor </w:t>
      </w:r>
      <w:r w:rsidR="00197CFF">
        <w:t xml:space="preserve">analytics, </w:t>
      </w:r>
      <w:r w:rsidR="008C36CD">
        <w:t xml:space="preserve">displays provided by </w:t>
      </w:r>
      <w:r w:rsidR="00D24BF1">
        <w:t>general visualization tool</w:t>
      </w:r>
      <w:r w:rsidR="00C96557">
        <w:t>s</w:t>
      </w:r>
      <w:r w:rsidR="008C36CD">
        <w:t xml:space="preserve"> such as Power BI</w:t>
      </w:r>
      <w:r w:rsidR="00D24BF1">
        <w:t xml:space="preserve"> and Grafana (See </w:t>
      </w:r>
      <w:r w:rsidR="00D739D5">
        <w:t xml:space="preserve">Appendix </w:t>
      </w:r>
      <w:r w:rsidR="0046084E">
        <w:t>F</w:t>
      </w:r>
      <w:r w:rsidR="00D739D5">
        <w:t>)</w:t>
      </w:r>
      <w:r w:rsidR="0046084E">
        <w:t>, and customized</w:t>
      </w:r>
      <w:r w:rsidR="00AC37DF">
        <w:t xml:space="preserve"> browser</w:t>
      </w:r>
      <w:r w:rsidR="00C96557">
        <w:t>-</w:t>
      </w:r>
      <w:r w:rsidR="00AC37DF">
        <w:t>based displays that join mainten</w:t>
      </w:r>
      <w:r w:rsidR="00623E69">
        <w:t xml:space="preserve">ance condition data </w:t>
      </w:r>
      <w:r w:rsidR="007E5D7B">
        <w:t>as well as analytic result</w:t>
      </w:r>
      <w:r w:rsidR="00670158">
        <w:t>s in ways th</w:t>
      </w:r>
      <w:r w:rsidR="00C26019">
        <w:t xml:space="preserve">at yield the most meaning </w:t>
      </w:r>
      <w:r w:rsidR="00682218">
        <w:t>for Transmission APC users</w:t>
      </w:r>
      <w:r w:rsidR="00705D03">
        <w:t xml:space="preserve">. </w:t>
      </w:r>
      <w:r w:rsidR="0019597D">
        <w:t xml:space="preserve"> </w:t>
      </w:r>
      <w:r w:rsidR="00705D03">
        <w:t xml:space="preserve">These custom displays are likely to be most needed </w:t>
      </w:r>
      <w:r w:rsidR="002F5830">
        <w:t xml:space="preserve">to integrate TVA </w:t>
      </w:r>
      <w:r w:rsidR="00FE0D07">
        <w:t>developed analytics with vendor-provided results.</w:t>
      </w:r>
      <w:r w:rsidR="000906BD">
        <w:t xml:space="preserve">  </w:t>
      </w:r>
      <w:r w:rsidR="00B70905">
        <w:t>Some of the TVA</w:t>
      </w:r>
      <w:r w:rsidR="00445377">
        <w:t>-</w:t>
      </w:r>
      <w:r w:rsidR="00B70905">
        <w:t xml:space="preserve">developed analytics </w:t>
      </w:r>
      <w:r w:rsidR="00193D4C">
        <w:t>nearing production implementation are</w:t>
      </w:r>
      <w:r w:rsidR="000906BD">
        <w:t xml:space="preserve"> (1)</w:t>
      </w:r>
      <w:r w:rsidR="004E4F41">
        <w:t xml:space="preserve"> breaker timing vs. </w:t>
      </w:r>
      <w:r w:rsidR="00445377">
        <w:t>specification</w:t>
      </w:r>
      <w:r w:rsidR="009B20D0">
        <w:t xml:space="preserve"> based on waveform analysis</w:t>
      </w:r>
      <w:r w:rsidR="003551EB">
        <w:t xml:space="preserve"> and </w:t>
      </w:r>
      <w:r w:rsidR="00DD6FD5">
        <w:t xml:space="preserve">(2) </w:t>
      </w:r>
      <w:r w:rsidR="003551EB">
        <w:t>transformer health based on</w:t>
      </w:r>
      <w:r w:rsidR="00790EBE">
        <w:t xml:space="preserve"> the</w:t>
      </w:r>
      <w:r w:rsidR="003551EB">
        <w:t xml:space="preserve"> S/N ratio </w:t>
      </w:r>
      <w:r w:rsidR="003063A0">
        <w:t xml:space="preserve">trends </w:t>
      </w:r>
      <w:r w:rsidR="00AF247A">
        <w:t>from phasor measurements.</w:t>
      </w:r>
    </w:p>
    <w:p w14:paraId="6DB8157F" w14:textId="1015572F" w:rsidR="00686608" w:rsidRPr="0096632C" w:rsidRDefault="00154236" w:rsidP="00686608">
      <w:pPr>
        <w:pStyle w:val="Body"/>
      </w:pPr>
      <w:r>
        <w:t xml:space="preserve">Should TVA wish </w:t>
      </w:r>
      <w:r w:rsidR="002125CB">
        <w:t>GPA to be a major provider of visu</w:t>
      </w:r>
      <w:r w:rsidR="003A195A">
        <w:t>alizations,</w:t>
      </w:r>
      <w:r w:rsidR="00686608">
        <w:t xml:space="preserve"> </w:t>
      </w:r>
      <w:r w:rsidR="00424C55">
        <w:t>GPA can provide displays for all data associated with an asset in</w:t>
      </w:r>
      <w:r w:rsidR="00424C55" w:rsidRPr="0011695D">
        <w:t xml:space="preserve"> </w:t>
      </w:r>
      <w:r w:rsidR="00424C55">
        <w:t>the openADI</w:t>
      </w:r>
      <w:r w:rsidR="00686608">
        <w:t>. This includes measurements</w:t>
      </w:r>
      <w:r w:rsidR="00B3314B">
        <w:t>, results of asset health analytics</w:t>
      </w:r>
      <w:r w:rsidR="00686608">
        <w:t xml:space="preserve"> and properties of the asset as well as information about the asset’s history, such as recent maintenance and inspection reports. Through integration with TVA’s Asset registry and work order system (Maximo)</w:t>
      </w:r>
      <w:r w:rsidR="00445377">
        <w:t>,</w:t>
      </w:r>
      <w:r w:rsidR="00686608">
        <w:t xml:space="preserve"> these visualizations can also allow the user to create work orders and attach pertinent information to those work orders.</w:t>
      </w:r>
    </w:p>
    <w:p w14:paraId="5299DA89" w14:textId="4A1D9316" w:rsidR="008F0EAA" w:rsidRDefault="00686608" w:rsidP="008F0EAA">
      <w:pPr>
        <w:pStyle w:val="Body"/>
      </w:pPr>
      <w:r>
        <w:t xml:space="preserve"> </w:t>
      </w:r>
    </w:p>
    <w:p w14:paraId="73618A3D" w14:textId="77777777" w:rsidR="008F0EAA" w:rsidRDefault="008F0EAA" w:rsidP="008F0EAA">
      <w:pPr>
        <w:rPr>
          <w:rFonts w:ascii="Calibri" w:hAnsi="Calibri" w:cstheme="minorHAnsi"/>
        </w:rPr>
      </w:pPr>
      <w:r>
        <w:br w:type="page"/>
      </w:r>
    </w:p>
    <w:p w14:paraId="13E76F9A" w14:textId="77777777" w:rsidR="0063452E" w:rsidRDefault="0063452E" w:rsidP="0063452E">
      <w:pPr>
        <w:pStyle w:val="Heading3"/>
      </w:pPr>
      <w:bookmarkStart w:id="26" w:name="_Toc31377116"/>
      <w:r>
        <w:lastRenderedPageBreak/>
        <w:t>1 Project Organization and Staffing</w:t>
      </w:r>
      <w:bookmarkEnd w:id="26"/>
    </w:p>
    <w:p w14:paraId="30B12A4F" w14:textId="1ADF8DFB" w:rsidR="0063452E" w:rsidRDefault="0063452E" w:rsidP="0063452E">
      <w:pPr>
        <w:pStyle w:val="Body"/>
      </w:pPr>
      <w:r>
        <w:t>GPA staff has the experience, skills and knowledge necessary to provide TVA high-quality, reliable software solutions.  As shown in Attachment 4, the GPA Detailed Staffing Plan, GPA has both the staff and depth</w:t>
      </w:r>
      <w:r w:rsidR="00445377">
        <w:t>-</w:t>
      </w:r>
      <w:r>
        <w:t>of</w:t>
      </w:r>
      <w:r w:rsidR="00445377">
        <w:t>-</w:t>
      </w:r>
      <w:r>
        <w:t xml:space="preserve">bench to capably provide project deliverables on time and within budget. </w:t>
      </w:r>
    </w:p>
    <w:p w14:paraId="17B0D77E" w14:textId="77777777" w:rsidR="0063452E" w:rsidRDefault="0063452E" w:rsidP="0063452E">
      <w:pPr>
        <w:pStyle w:val="Body"/>
      </w:pPr>
      <w:r>
        <w:t>The information provided below summarizes information from Attachment 4 as well as Attachment 3, GPA Resumes.</w:t>
      </w:r>
    </w:p>
    <w:p w14:paraId="7647B87D" w14:textId="77777777" w:rsidR="0063452E" w:rsidRPr="00F53FCC" w:rsidRDefault="0063452E" w:rsidP="0063452E">
      <w:pPr>
        <w:pStyle w:val="Heading5"/>
      </w:pPr>
      <w:r w:rsidRPr="00F53FCC">
        <w:t>Project Management</w:t>
      </w:r>
    </w:p>
    <w:p w14:paraId="387D8AB2" w14:textId="77777777" w:rsidR="0063452E" w:rsidRPr="006838B8" w:rsidRDefault="0063452E" w:rsidP="0063452E">
      <w:pPr>
        <w:pStyle w:val="Body"/>
      </w:pPr>
      <w:r>
        <w:t>Russell Robertson will be overseeing this project with the scheduling and status reporting assistance from Rick Driggans.  The GPA Team has experience in managing large development and deployment projects – both while at TVA and as based on the on-time delivery of the four multi-million-dollar awards from DOE that GPA has received over the last 7 years.</w:t>
      </w:r>
    </w:p>
    <w:p w14:paraId="433EAF19" w14:textId="77777777" w:rsidR="0063452E" w:rsidRPr="00F53FCC" w:rsidRDefault="0063452E" w:rsidP="0063452E">
      <w:pPr>
        <w:pStyle w:val="Heading5"/>
      </w:pPr>
      <w:r>
        <w:t>Implementation and Integration</w:t>
      </w:r>
    </w:p>
    <w:p w14:paraId="56D02327" w14:textId="77777777" w:rsidR="0063452E" w:rsidRDefault="0063452E" w:rsidP="0063452E">
      <w:pPr>
        <w:pStyle w:val="Body"/>
      </w:pPr>
      <w:r>
        <w:t xml:space="preserve">The GPA Team has expert experience in providing services to integrate information through a broad range of data integration techniques.  This includes data integration with data historians like eDNA and with relational data systems – including MS SQL Server, and Oracle.  GPA has implemented web-service based APIs for its products and has provided services to both utilities and vendors of priority utility software to develop APIs. </w:t>
      </w:r>
    </w:p>
    <w:p w14:paraId="09E17D8A" w14:textId="592E41AE" w:rsidR="0063452E" w:rsidRDefault="0063452E" w:rsidP="0063452E">
      <w:pPr>
        <w:pStyle w:val="Heading5"/>
      </w:pPr>
      <w:r>
        <w:t>Application and Subject Ma</w:t>
      </w:r>
      <w:r w:rsidR="00445377">
        <w:t>tter</w:t>
      </w:r>
      <w:r>
        <w:t xml:space="preserve"> Expert Expertise</w:t>
      </w:r>
    </w:p>
    <w:p w14:paraId="2A99DFF7" w14:textId="6FAFD573" w:rsidR="0063452E" w:rsidRDefault="0063452E" w:rsidP="0063452E">
      <w:pPr>
        <w:pStyle w:val="Body"/>
      </w:pPr>
      <w:r>
        <w:t>Key members of the GPA Team have decades of combined experience in development, operation</w:t>
      </w:r>
      <w:r w:rsidR="00445377">
        <w:t xml:space="preserve"> </w:t>
      </w:r>
      <w:r>
        <w:t xml:space="preserve">and support of transmission data collection systems as well as transmission analytic applications. With the recent addition of Dr. Christoph Lackner, GPA also </w:t>
      </w:r>
      <w:r w:rsidR="00445377">
        <w:t xml:space="preserve">has </w:t>
      </w:r>
      <w:r>
        <w:t xml:space="preserve">deep technical depth </w:t>
      </w:r>
      <w:r w:rsidR="00445377">
        <w:t>in</w:t>
      </w:r>
      <w:r>
        <w:t xml:space="preserve"> computation science as well as methods to develop complex analytic engines.</w:t>
      </w:r>
    </w:p>
    <w:p w14:paraId="6C31CF7C" w14:textId="77777777" w:rsidR="0063452E" w:rsidRDefault="0063452E" w:rsidP="0063452E">
      <w:pPr>
        <w:pStyle w:val="Heading5"/>
      </w:pPr>
      <w:r>
        <w:t>IT Infrastructure Support</w:t>
      </w:r>
    </w:p>
    <w:p w14:paraId="4DF1B032" w14:textId="674BB8C2" w:rsidR="0063452E" w:rsidRDefault="0063452E" w:rsidP="0063452E">
      <w:pPr>
        <w:pStyle w:val="Body"/>
      </w:pPr>
      <w:r>
        <w:t>The GPA Team has worked with numerous IT support staffs in the installation, test and turn-up of production operating systems.  We understand server, data bas</w:t>
      </w:r>
      <w:r w:rsidR="00445377">
        <w:t xml:space="preserve">e </w:t>
      </w:r>
      <w:r>
        <w:t xml:space="preserve">and web-server administration.  We understand the relationships between network configuration and system performance.  GPA has worked closely with multiple utility’s security teams to deploy GPA products in both CIP-critical and enterprise environments. </w:t>
      </w:r>
    </w:p>
    <w:p w14:paraId="4C015A96" w14:textId="77777777" w:rsidR="0063452E" w:rsidRDefault="0063452E" w:rsidP="0063452E">
      <w:pPr>
        <w:pStyle w:val="Heading5"/>
      </w:pPr>
      <w:r>
        <w:t>Application Quality Assurance and Testing</w:t>
      </w:r>
    </w:p>
    <w:p w14:paraId="6AFCFFF6" w14:textId="77777777" w:rsidR="0063452E" w:rsidRDefault="0063452E" w:rsidP="0063452E">
      <w:pPr>
        <w:pStyle w:val="Body"/>
      </w:pPr>
      <w:r>
        <w:t>The GPA Team has led and participated in the system quality assurance testing, both as the recipient of the system (while Team members were at TVA) and as the provider of systems.</w:t>
      </w:r>
    </w:p>
    <w:p w14:paraId="06F4678C" w14:textId="77777777" w:rsidR="0063452E" w:rsidRDefault="0063452E" w:rsidP="0063452E">
      <w:pPr>
        <w:pStyle w:val="Heading5"/>
      </w:pPr>
      <w:r>
        <w:t>Security</w:t>
      </w:r>
    </w:p>
    <w:p w14:paraId="69351DFA" w14:textId="77777777" w:rsidR="0063452E" w:rsidRDefault="0063452E" w:rsidP="0063452E">
      <w:pPr>
        <w:pStyle w:val="Body"/>
      </w:pPr>
      <w:r>
        <w:t>The GPA Team has won two awards from DOE’s Cybersecurity for Energy Delivery Systems (CEDs) Program.  Through this experience, GPA staff are knowledgeable of best-in-class security practices and in the development of systems that implement these practices.</w:t>
      </w:r>
    </w:p>
    <w:p w14:paraId="35CC01E6" w14:textId="77777777" w:rsidR="0063452E" w:rsidRDefault="0063452E" w:rsidP="0063452E">
      <w:pPr>
        <w:pStyle w:val="Body"/>
      </w:pPr>
    </w:p>
    <w:p w14:paraId="6E71949E" w14:textId="77777777" w:rsidR="0063452E" w:rsidRDefault="0063452E" w:rsidP="0063452E">
      <w:pPr>
        <w:rPr>
          <w:rFonts w:ascii="Calibri" w:hAnsi="Calibri" w:cstheme="minorHAnsi"/>
        </w:rPr>
      </w:pPr>
      <w:r>
        <w:br w:type="page"/>
      </w:r>
    </w:p>
    <w:p w14:paraId="165F56DB" w14:textId="77777777" w:rsidR="0063452E" w:rsidRDefault="0063452E" w:rsidP="0063452E">
      <w:pPr>
        <w:pStyle w:val="Heading3"/>
      </w:pPr>
      <w:bookmarkStart w:id="27" w:name="_Toc31377117"/>
      <w:r>
        <w:lastRenderedPageBreak/>
        <w:t>2 Functional Requirements</w:t>
      </w:r>
      <w:bookmarkEnd w:id="27"/>
    </w:p>
    <w:p w14:paraId="6293C0EF" w14:textId="77777777" w:rsidR="0063452E" w:rsidRDefault="0063452E" w:rsidP="0063452E">
      <w:pPr>
        <w:pStyle w:val="Body"/>
      </w:pPr>
      <w:r>
        <w:t>GPA has provided a detailed response to the functional requirements in Attachment 5, GPA Response to the TVA Requirements Workbook. This section contains a short summary of the responses in that workbook.</w:t>
      </w:r>
    </w:p>
    <w:p w14:paraId="595D8590" w14:textId="77777777" w:rsidR="0063452E" w:rsidRDefault="0063452E" w:rsidP="0063452E">
      <w:pPr>
        <w:pStyle w:val="Heading5"/>
      </w:pPr>
      <w:r>
        <w:t>Administration</w:t>
      </w:r>
    </w:p>
    <w:p w14:paraId="73D9BF00" w14:textId="77777777" w:rsidR="0063452E" w:rsidRDefault="0063452E" w:rsidP="0063452E">
      <w:pPr>
        <w:pStyle w:val="Body"/>
      </w:pPr>
      <w:r>
        <w:t>With a history of developing real-time systems to be deployed on CIP-critical networks, GPA appreciates the need for disciplined administration and governance that include separation of duty and highly formalized change management procedures.  GPA also understand the burden that can be placed on SMEs of administration and configuration of systems for support and expanding asset base.  openADI System Center is proposed by GPA to simplify and reduce the burden of this administration.</w:t>
      </w:r>
    </w:p>
    <w:p w14:paraId="03814D1A" w14:textId="77777777" w:rsidR="0063452E" w:rsidRDefault="0063452E" w:rsidP="0063452E">
      <w:pPr>
        <w:pStyle w:val="Heading5"/>
      </w:pPr>
      <w:r>
        <w:t>Architecture</w:t>
      </w:r>
    </w:p>
    <w:p w14:paraId="127799B7" w14:textId="11FE6C3D" w:rsidR="0063452E" w:rsidRDefault="0063452E" w:rsidP="0063452E">
      <w:pPr>
        <w:pStyle w:val="Body"/>
      </w:pPr>
      <w:r>
        <w:t>As described in the proposed architecture in Section IV of this document</w:t>
      </w:r>
      <w:r w:rsidR="00445377">
        <w:t>,</w:t>
      </w:r>
      <w:r>
        <w:t xml:space="preserve"> the openADI Tool Suite is capable of interoperating with the multiple external</w:t>
      </w:r>
      <w:r>
        <w:rPr>
          <w:rStyle w:val="FootnoteReference"/>
        </w:rPr>
        <w:footnoteReference w:id="3"/>
      </w:r>
      <w:r>
        <w:t xml:space="preserve"> systems that TVA has included in the functional requirements. The architecture proposed by GPA is designed to be easily extendable to other data sources and additional systems – at minimum effort.  Note that this architecture is recommend</w:t>
      </w:r>
      <w:r w:rsidR="00445377">
        <w:t>ed</w:t>
      </w:r>
      <w:r>
        <w:t xml:space="preserve"> based on GPAs experience in providing other integration services to TVA for several of the same external systems.</w:t>
      </w:r>
    </w:p>
    <w:p w14:paraId="1150CEF6" w14:textId="77777777" w:rsidR="0063452E" w:rsidRDefault="0063452E" w:rsidP="0063452E">
      <w:pPr>
        <w:pStyle w:val="Heading5"/>
      </w:pPr>
      <w:r>
        <w:t>Analytics and Share Findings</w:t>
      </w:r>
    </w:p>
    <w:p w14:paraId="64205FCC" w14:textId="77777777" w:rsidR="0063452E" w:rsidRDefault="0063452E" w:rsidP="0063452E">
      <w:pPr>
        <w:pStyle w:val="Body"/>
      </w:pPr>
      <w:r>
        <w:t>GPA is not bidding on the analytics portion of this RFP per se (although GPA has already implemented several small transmission asset health determination analytics at TVA).  Even so, two major points.  First, TVA has included a number of functional requirements in Asset Data Aggregation related to real time dashboards, reporting and data sharing which are common to analytics.  GPA is experienced at developing these visualizations and will enjoy providing these services to TVA.  Second, the proposed openADI suite of tools was developed with what GPA sees as the critical requirement to make analytic results easily sharable and usable – by other analytics, within the Transmission APC, and by other TPS&amp;S and enterprise TVA systems.</w:t>
      </w:r>
    </w:p>
    <w:p w14:paraId="49080A4C" w14:textId="77777777" w:rsidR="0063452E" w:rsidRDefault="0063452E" w:rsidP="0063452E">
      <w:pPr>
        <w:pStyle w:val="Heading5"/>
      </w:pPr>
      <w:r>
        <w:t>Supplier Support</w:t>
      </w:r>
    </w:p>
    <w:p w14:paraId="547FE2BF" w14:textId="77777777" w:rsidR="0063452E" w:rsidRDefault="0063452E" w:rsidP="0063452E">
      <w:pPr>
        <w:pStyle w:val="Body"/>
      </w:pPr>
      <w:r>
        <w:t>As a developer of open source software, one of GPA’s primary sources of revenue comes from supporting and maintaining our products.  We believe we have a good track record at providing responsive, high-quality support for the GPA products currently installed at TVA.  Due the agility that comes from being a small business, our extensive experience with TVA systems and close proximity to the Chattanooga Office Complex, we are confident that GPA can provide TVA exceptional O&amp;M support during both the post-installation (warranty period) phase and operational phase of this project.</w:t>
      </w:r>
    </w:p>
    <w:p w14:paraId="492A8AC2" w14:textId="77777777" w:rsidR="0063452E" w:rsidRDefault="0063452E" w:rsidP="0063452E">
      <w:pPr>
        <w:rPr>
          <w:rFonts w:ascii="Calibri" w:hAnsi="Calibri" w:cstheme="minorHAnsi"/>
        </w:rPr>
      </w:pPr>
      <w:r>
        <w:br w:type="page"/>
      </w:r>
    </w:p>
    <w:p w14:paraId="001A185C" w14:textId="77777777" w:rsidR="0063452E" w:rsidRDefault="0063452E" w:rsidP="0063452E">
      <w:pPr>
        <w:pStyle w:val="Heading3"/>
      </w:pPr>
      <w:bookmarkStart w:id="28" w:name="_Toc31377118"/>
      <w:r>
        <w:lastRenderedPageBreak/>
        <w:t>3 Technical Requirements</w:t>
      </w:r>
      <w:bookmarkEnd w:id="28"/>
    </w:p>
    <w:p w14:paraId="042539C6" w14:textId="77777777" w:rsidR="0063452E" w:rsidRDefault="0063452E" w:rsidP="0063452E">
      <w:pPr>
        <w:pStyle w:val="Body"/>
      </w:pPr>
      <w:r>
        <w:t>GPA has provided a detailed response to the technical, or non-functional, requirements in Attachment 5, GPA Response to the TVA Requirements Workbook.  This section contains a short summary of that response.</w:t>
      </w:r>
    </w:p>
    <w:p w14:paraId="232604D3" w14:textId="77777777" w:rsidR="0063452E" w:rsidRDefault="0063452E" w:rsidP="0063452E">
      <w:pPr>
        <w:pStyle w:val="Heading5"/>
      </w:pPr>
      <w:r>
        <w:t>Administration</w:t>
      </w:r>
    </w:p>
    <w:p w14:paraId="0493D4BB" w14:textId="77777777" w:rsidR="0063452E" w:rsidRDefault="0063452E" w:rsidP="0063452E">
      <w:pPr>
        <w:pStyle w:val="Body"/>
      </w:pPr>
      <w:r>
        <w:t xml:space="preserve">The proposed openADI suite architecture can meet all the non-functional requirements enumerated by TVA. OpenADI will interface with Active Directory to manage authentication of users. All existing GPA projects, as well as the proposed openADI suite, include copious logging to provide audit trails for security forensics and for diagnosing and resolving system issues. </w:t>
      </w:r>
    </w:p>
    <w:p w14:paraId="3654AE76" w14:textId="77777777" w:rsidR="0063452E" w:rsidRDefault="0063452E" w:rsidP="0063452E">
      <w:pPr>
        <w:pStyle w:val="Heading5"/>
      </w:pPr>
      <w:r>
        <w:t>Architecture</w:t>
      </w:r>
    </w:p>
    <w:p w14:paraId="69B5C09D" w14:textId="77777777" w:rsidR="0063452E" w:rsidRDefault="0063452E" w:rsidP="0063452E">
      <w:pPr>
        <w:pStyle w:val="Body"/>
      </w:pPr>
      <w:r>
        <w:t xml:space="preserve">The GPA proposed solution is designed to execute on TVA hardware that is virtually “on premise” from the network layer perspective.  This proximity from the network layer perspective is important to allow easy interoperation with the source data systems.  However, this does not preclude some points of interface for openADI being isolated from local networks – including being “in the cloud” – as TVA may prefer for some vendor-provided or some TVA-developed analytics.  In addition, GPA can provide support for setting up failover systems for the openADI so that it can be a high-availability implementation as deemed necessary by TVA. </w:t>
      </w:r>
    </w:p>
    <w:p w14:paraId="7CAB4429" w14:textId="77777777" w:rsidR="0063452E" w:rsidRDefault="0063452E" w:rsidP="0063452E">
      <w:pPr>
        <w:pStyle w:val="Body"/>
      </w:pPr>
      <w:r>
        <w:t>All components of the proposed architecture are designed to either be web-based services accessed through a web-browser, or back-office server systems designed to run with minimal user interaction. While a mobile application is not part of the proposed architecture per se, the web-based APIs proposed by GPA can be easily used to support mobile apps and externally accessible web pages.</w:t>
      </w:r>
    </w:p>
    <w:p w14:paraId="5162E622" w14:textId="77777777" w:rsidR="0063452E" w:rsidRDefault="0063452E" w:rsidP="0063452E">
      <w:pPr>
        <w:pStyle w:val="Heading5"/>
      </w:pPr>
      <w:r>
        <w:t>Data Management</w:t>
      </w:r>
    </w:p>
    <w:p w14:paraId="5A238F53" w14:textId="688B1A14" w:rsidR="0063452E" w:rsidRDefault="0063452E" w:rsidP="0063452E">
      <w:pPr>
        <w:pStyle w:val="Body"/>
      </w:pPr>
      <w:r>
        <w:t>The focus of the proposed architecture is to provide a single, open and easy-to-use repository for transmission asset health related data through the openADI database.  However, this data does not need to be physically stored within the database.  In cases where the source data is well structured and the source system is sufficiently performant, openADI would only maintain a reference to source data (or perhaps maintain a reference in conjunction with TPS-IM – See Appendix F).  OpenADI will include copious logging of data flow volume and timing to enable detailed monitoring of data flows to assure that all data aggregation requirements can be met.</w:t>
      </w:r>
    </w:p>
    <w:p w14:paraId="213E4F5A" w14:textId="56B310AD" w:rsidR="0063452E" w:rsidRDefault="0063452E" w:rsidP="0063452E">
      <w:pPr>
        <w:pStyle w:val="Body"/>
      </w:pPr>
      <w:r>
        <w:t>To address scale issues (both in the number of data sources, the volume of data needed from some of these source</w:t>
      </w:r>
      <w:r w:rsidR="00445377">
        <w:t>s</w:t>
      </w:r>
      <w:r>
        <w:t>, and the potential number of analytics) architecturally openADI is recommended as the gateway for analytics interaction with source data systems so that openADI and monitor and maintain common links across multiple analytics.  This common link also allows source data to be validated prior to being provided to the analytic and avoids each analytic having to be configured to provide this functionality independently.</w:t>
      </w:r>
    </w:p>
    <w:p w14:paraId="6E76EE42" w14:textId="77777777" w:rsidR="0063452E" w:rsidRPr="008C7DAC" w:rsidRDefault="0063452E" w:rsidP="0063452E">
      <w:pPr>
        <w:pStyle w:val="Heading5"/>
      </w:pPr>
      <w:r>
        <w:t>Analytics</w:t>
      </w:r>
    </w:p>
    <w:p w14:paraId="639F4D84" w14:textId="77777777" w:rsidR="0063452E" w:rsidRDefault="0063452E" w:rsidP="0063452E">
      <w:pPr>
        <w:pStyle w:val="Body"/>
      </w:pPr>
      <w:r>
        <w:t xml:space="preserve">GPA is not bidding on the analytics portion of this RFP per se. However, GPA would like to point out that a number of technical requirements of the analytic portion can be addressed by the GPA proposed architecture. Since openADI is proposed to be the repository for asset health from multiple analytics, it makes it possible for the openADI Results Service to automatically notify </w:t>
      </w:r>
      <w:r>
        <w:lastRenderedPageBreak/>
        <w:t>Transmission employees of abnormal or off-normal conditions.  See Appendix C, Alarming and Automated Notifications. In addition, the openADI Integrated Visualizations can provide a single window view into TVA’s asset health monitoring system.</w:t>
      </w:r>
    </w:p>
    <w:p w14:paraId="716D9E63" w14:textId="77777777" w:rsidR="0063452E" w:rsidRPr="008C7DAC" w:rsidRDefault="0063452E" w:rsidP="0063452E">
      <w:pPr>
        <w:pStyle w:val="Heading5"/>
      </w:pPr>
      <w:r>
        <w:t>Share Findings</w:t>
      </w:r>
    </w:p>
    <w:p w14:paraId="15622937" w14:textId="339F504F" w:rsidR="0063452E" w:rsidRDefault="0063452E" w:rsidP="0063452E">
      <w:pPr>
        <w:pStyle w:val="Body"/>
      </w:pPr>
      <w:r>
        <w:t>GPA recommends that Transmission APC Integrated Visualizations component of the proposed architecture (Item 5 in Figure 6 on page 16) be based on multiple visualization platforms</w:t>
      </w:r>
      <w:r w:rsidR="00445377">
        <w:t xml:space="preserve"> -- s</w:t>
      </w:r>
      <w:r>
        <w:t>ome custom provided by individual analytics and some from general platforms such as Power BI or based on Grafana. See Appendix B, Visualization using Grafana.  Grafana is an open</w:t>
      </w:r>
      <w:r w:rsidR="00445377">
        <w:t xml:space="preserve"> </w:t>
      </w:r>
      <w:r>
        <w:t xml:space="preserve">source visualization tool that includes large </w:t>
      </w:r>
      <w:r w:rsidRPr="00652158">
        <w:t xml:space="preserve">parts of the functionality required by TVA. </w:t>
      </w:r>
      <w:r>
        <w:t xml:space="preserve"> </w:t>
      </w:r>
    </w:p>
    <w:p w14:paraId="71D3D029" w14:textId="77777777" w:rsidR="0063452E" w:rsidRPr="006838B8" w:rsidRDefault="0063452E" w:rsidP="0063452E">
      <w:pPr>
        <w:pStyle w:val="Body"/>
      </w:pPr>
      <w:r>
        <w:t xml:space="preserve">In addition, GPA is planning on developing a new data trending tool in partnership with EPRI and TVA in FY 2020 which includes some of the functionality needed for the Transmission APC. </w:t>
      </w:r>
    </w:p>
    <w:p w14:paraId="65E5A30A" w14:textId="77777777" w:rsidR="0063452E" w:rsidRPr="006838B8" w:rsidRDefault="0063452E" w:rsidP="0063452E">
      <w:pPr>
        <w:pStyle w:val="Heading5"/>
      </w:pPr>
      <w:r>
        <w:t>Security</w:t>
      </w:r>
    </w:p>
    <w:p w14:paraId="35AC9112" w14:textId="77777777" w:rsidR="0063452E" w:rsidRDefault="0063452E" w:rsidP="0063452E">
      <w:pPr>
        <w:pStyle w:val="Body"/>
      </w:pPr>
      <w:r>
        <w:t>GPA has extensive experience in assuring that its software is intrinsically secure and in management of user authentication and in role-based permissions for applications.  GPA offers the service (which is not included as part of this proposal) to provide monthly code reviews and issue security alerts and patches for software installed on CIP-critical networks.</w:t>
      </w:r>
    </w:p>
    <w:p w14:paraId="38464298" w14:textId="77777777" w:rsidR="0063452E" w:rsidRDefault="0063452E" w:rsidP="0063452E">
      <w:pPr>
        <w:pStyle w:val="Body"/>
      </w:pPr>
      <w:r>
        <w:t xml:space="preserve">While other methods of providing user authentication can be implemented, GPA recommends that the openADI suite of products interoperate with TVA’s Active Directory (AD) for user authentication. </w:t>
      </w:r>
    </w:p>
    <w:p w14:paraId="7A75A000" w14:textId="77777777" w:rsidR="0063452E" w:rsidRDefault="0063452E" w:rsidP="0063452E">
      <w:pPr>
        <w:pStyle w:val="Body"/>
      </w:pPr>
      <w:r>
        <w:t>Since the openADI is proposed to be installed virtually “on premise”, many of the technical requirements related to cloud storage and any requirements to Vendor’s IT data storage systems are not applicable.  All data in the openADI database will be stored on TVA systems and no data will leave TVA at any point.  However, openADI can support interfaces to external systems, such as those in the cloud, should TVA elect to implement Transmission APC components there.</w:t>
      </w:r>
    </w:p>
    <w:p w14:paraId="0D881797" w14:textId="77777777" w:rsidR="0063452E" w:rsidRPr="006838B8" w:rsidRDefault="0063452E" w:rsidP="0063452E">
      <w:pPr>
        <w:pStyle w:val="Heading5"/>
      </w:pPr>
      <w:r>
        <w:t>Integration</w:t>
      </w:r>
    </w:p>
    <w:p w14:paraId="38FDAB70" w14:textId="5FAFB60C" w:rsidR="0063452E" w:rsidRDefault="0063452E" w:rsidP="0063452E">
      <w:pPr>
        <w:pStyle w:val="Body"/>
      </w:pPr>
      <w:r>
        <w:t>The purpose of openADI is “integration centric” and it</w:t>
      </w:r>
      <w:r w:rsidR="00445377">
        <w:t xml:space="preserve"> is</w:t>
      </w:r>
      <w:r>
        <w:t xml:space="preserve"> based on a number of extendable API’s and custom interfaces to integrated with other TVA systems.</w:t>
      </w:r>
    </w:p>
    <w:p w14:paraId="76A6A846" w14:textId="77777777" w:rsidR="0063452E" w:rsidRPr="006838B8" w:rsidRDefault="0063452E" w:rsidP="0063452E">
      <w:pPr>
        <w:pStyle w:val="Heading5"/>
      </w:pPr>
      <w:r>
        <w:t>Network</w:t>
      </w:r>
    </w:p>
    <w:p w14:paraId="7292754B" w14:textId="53EA5F80" w:rsidR="0063452E" w:rsidRPr="006A53C8" w:rsidRDefault="0063452E" w:rsidP="0063452E">
      <w:pPr>
        <w:pStyle w:val="Body"/>
      </w:pPr>
      <w:r>
        <w:t>The proposed solution resides fully on TVA networks. The proposed architecture was designed in keeping</w:t>
      </w:r>
      <w:r w:rsidR="006017C7">
        <w:t xml:space="preserve"> with</w:t>
      </w:r>
      <w:r>
        <w:t xml:space="preserve"> best practices to not unduly burden the data transport layer. </w:t>
      </w:r>
    </w:p>
    <w:p w14:paraId="77AAC5CA" w14:textId="77777777" w:rsidR="0063452E" w:rsidRPr="006838B8" w:rsidRDefault="0063452E" w:rsidP="0063452E">
      <w:pPr>
        <w:pStyle w:val="Heading5"/>
      </w:pPr>
      <w:r>
        <w:t>Storage</w:t>
      </w:r>
    </w:p>
    <w:p w14:paraId="6D72C6D9" w14:textId="77777777" w:rsidR="0063452E" w:rsidRDefault="0063452E" w:rsidP="0063452E">
      <w:pPr>
        <w:pStyle w:val="Body"/>
      </w:pPr>
      <w:r>
        <w:t xml:space="preserve">The proposed architecture minimizes the data stored within the openADI database to that information that cannot be dynamically obtained from source data systems within the performance requirements demanded by the individual analytic platforms.  Whenever possible the data is queried directly from the source system, minimizing the storage requirement. </w:t>
      </w:r>
    </w:p>
    <w:p w14:paraId="67436565" w14:textId="77777777" w:rsidR="0063452E" w:rsidRPr="006838B8" w:rsidRDefault="0063452E" w:rsidP="0063452E">
      <w:pPr>
        <w:pStyle w:val="Heading5"/>
      </w:pPr>
      <w:r>
        <w:t>Testing</w:t>
      </w:r>
    </w:p>
    <w:p w14:paraId="50621BB6" w14:textId="6342F9EF" w:rsidR="0063452E" w:rsidRDefault="0063452E" w:rsidP="002E0571">
      <w:pPr>
        <w:pStyle w:val="Body"/>
        <w:rPr>
          <w:rFonts w:ascii="Arial" w:hAnsi="Arial" w:cs="Arial"/>
          <w:b/>
          <w:bCs/>
          <w:color w:val="000000" w:themeColor="text1"/>
          <w:sz w:val="26"/>
          <w:szCs w:val="26"/>
        </w:rPr>
      </w:pPr>
      <w:r>
        <w:t>GPA recommends TVA set up development, acceptance and production environments to ensure any updates to the system are thoroughly tested by TVA personnel before promoting new functionality or updates to production.</w:t>
      </w:r>
    </w:p>
    <w:p w14:paraId="1A583621" w14:textId="77777777" w:rsidR="008F0EAA" w:rsidRDefault="008F0EAA" w:rsidP="008F0EAA">
      <w:pPr>
        <w:rPr>
          <w:rFonts w:ascii="Arial" w:hAnsi="Arial" w:cs="Arial"/>
          <w:b/>
          <w:bCs/>
          <w:color w:val="000000" w:themeColor="text1"/>
          <w:sz w:val="26"/>
          <w:szCs w:val="26"/>
        </w:rPr>
      </w:pPr>
      <w:r>
        <w:br w:type="page"/>
      </w:r>
    </w:p>
    <w:p w14:paraId="45215765" w14:textId="77777777" w:rsidR="008F0EAA" w:rsidRDefault="008F0EAA" w:rsidP="008F0EAA">
      <w:pPr>
        <w:pStyle w:val="Heading3"/>
      </w:pPr>
      <w:bookmarkStart w:id="29" w:name="_Toc31377119"/>
      <w:r>
        <w:lastRenderedPageBreak/>
        <w:t>4 Work Requirements</w:t>
      </w:r>
      <w:bookmarkEnd w:id="29"/>
    </w:p>
    <w:p w14:paraId="702A643D" w14:textId="72E7C758" w:rsidR="008F0EAA" w:rsidRDefault="00FB3240" w:rsidP="00576EAA">
      <w:pPr>
        <w:pStyle w:val="Body"/>
      </w:pPr>
      <w:r>
        <w:t xml:space="preserve">GPA will support delivery of all </w:t>
      </w:r>
      <w:r w:rsidR="00A61545">
        <w:t xml:space="preserve">items requested by TVA </w:t>
      </w:r>
      <w:r w:rsidR="002017D7">
        <w:t>including</w:t>
      </w:r>
      <w:r w:rsidR="00A61545">
        <w:t xml:space="preserve"> </w:t>
      </w:r>
      <w:r w:rsidR="00E460E5">
        <w:t>those listed in the TVA-provided Work Requirements document (Attachment 6).</w:t>
      </w:r>
    </w:p>
    <w:p w14:paraId="557B2808" w14:textId="66989ABB" w:rsidR="00D178EA" w:rsidRDefault="005120CC" w:rsidP="00576EAA">
      <w:pPr>
        <w:pStyle w:val="Body"/>
      </w:pPr>
      <w:r>
        <w:t xml:space="preserve">GPA has </w:t>
      </w:r>
      <w:r w:rsidR="004C4EB5">
        <w:t>valued</w:t>
      </w:r>
      <w:r w:rsidR="00D178EA">
        <w:t xml:space="preserve"> </w:t>
      </w:r>
      <w:r>
        <w:t xml:space="preserve">the </w:t>
      </w:r>
      <w:r w:rsidR="00E128F7">
        <w:t xml:space="preserve">TVA </w:t>
      </w:r>
      <w:r>
        <w:t xml:space="preserve">Delivery Expectations Document </w:t>
      </w:r>
      <w:r w:rsidR="005C2707">
        <w:t>(</w:t>
      </w:r>
      <w:r w:rsidR="00D178EA">
        <w:t>DED</w:t>
      </w:r>
      <w:r w:rsidR="005C2707">
        <w:t>)</w:t>
      </w:r>
      <w:r w:rsidR="00D178EA">
        <w:t xml:space="preserve"> process </w:t>
      </w:r>
      <w:r w:rsidR="004C4EB5">
        <w:t>as a</w:t>
      </w:r>
      <w:r w:rsidR="00D178EA">
        <w:t xml:space="preserve"> useful vehicle to finalize the documentation of requirements </w:t>
      </w:r>
      <w:r w:rsidR="008577E4">
        <w:t xml:space="preserve">immediately </w:t>
      </w:r>
      <w:r w:rsidR="00DF26E1">
        <w:t>preceding</w:t>
      </w:r>
      <w:r w:rsidR="008577E4">
        <w:t xml:space="preserve"> </w:t>
      </w:r>
      <w:r w:rsidR="00DF26E1">
        <w:t xml:space="preserve">the </w:t>
      </w:r>
      <w:r w:rsidR="0088324B">
        <w:t xml:space="preserve">start of </w:t>
      </w:r>
      <w:r w:rsidR="00DF26E1">
        <w:t xml:space="preserve">development </w:t>
      </w:r>
      <w:r w:rsidR="0088324B">
        <w:t xml:space="preserve">of a software deliverable to TVA.  </w:t>
      </w:r>
      <w:r w:rsidR="00F2280C">
        <w:t xml:space="preserve">We hope that this DED process can </w:t>
      </w:r>
      <w:r w:rsidR="00FD5B1D">
        <w:t>be used in this project</w:t>
      </w:r>
      <w:r w:rsidR="007C390D">
        <w:t>,</w:t>
      </w:r>
      <w:r w:rsidR="00F2280C">
        <w:t xml:space="preserve"> and </w:t>
      </w:r>
      <w:r w:rsidR="007C390D">
        <w:t xml:space="preserve">we </w:t>
      </w:r>
      <w:r w:rsidR="00F2280C">
        <w:t xml:space="preserve">have shown </w:t>
      </w:r>
      <w:r w:rsidR="00206142">
        <w:t>DEDs as the trigger for GPA beginning work in the project schedule.</w:t>
      </w:r>
    </w:p>
    <w:p w14:paraId="61764003" w14:textId="4A34EC66" w:rsidR="00B3362C" w:rsidRDefault="00B3362C" w:rsidP="00576EAA">
      <w:pPr>
        <w:pStyle w:val="Body"/>
      </w:pPr>
      <w:r>
        <w:t xml:space="preserve">GPA hopes that </w:t>
      </w:r>
      <w:r w:rsidR="005E68CB">
        <w:t xml:space="preserve">in working with TVA that </w:t>
      </w:r>
      <w:r w:rsidR="00415CB3">
        <w:t xml:space="preserve">some of the </w:t>
      </w:r>
      <w:r w:rsidR="00483F50">
        <w:t xml:space="preserve">planning </w:t>
      </w:r>
      <w:r w:rsidR="00415CB3">
        <w:t xml:space="preserve">and </w:t>
      </w:r>
      <w:r w:rsidR="009820CF">
        <w:t xml:space="preserve">project </w:t>
      </w:r>
      <w:r w:rsidR="00415CB3">
        <w:t>coordination docu</w:t>
      </w:r>
      <w:r w:rsidR="00BC6990">
        <w:t xml:space="preserve">ments can be combined </w:t>
      </w:r>
      <w:r w:rsidR="00956773">
        <w:t>to</w:t>
      </w:r>
      <w:r w:rsidR="00D716BC">
        <w:t xml:space="preserve"> </w:t>
      </w:r>
      <w:r w:rsidR="002017D7">
        <w:t>reduce project overhead while continuing to meet all TVA requirements.</w:t>
      </w:r>
    </w:p>
    <w:p w14:paraId="4E4B723C" w14:textId="77777777" w:rsidR="00957E40" w:rsidRDefault="00957E40" w:rsidP="008F0EAA">
      <w:pPr>
        <w:pStyle w:val="Body"/>
      </w:pPr>
    </w:p>
    <w:p w14:paraId="25546748" w14:textId="24FAECE8" w:rsidR="008F0EAA" w:rsidRDefault="008F0EAA" w:rsidP="00F97CD2">
      <w:pPr>
        <w:pStyle w:val="figure"/>
      </w:pPr>
    </w:p>
    <w:p w14:paraId="320AF705" w14:textId="77777777" w:rsidR="008F0EAA" w:rsidRDefault="008F0EAA" w:rsidP="008F0EAA">
      <w:pPr>
        <w:rPr>
          <w:rFonts w:ascii="Calibri" w:hAnsi="Calibri" w:cstheme="minorHAnsi"/>
        </w:rPr>
      </w:pPr>
      <w:r>
        <w:br w:type="page"/>
      </w:r>
    </w:p>
    <w:p w14:paraId="69B347B1" w14:textId="639AB793" w:rsidR="008F0EAA" w:rsidRDefault="008F0EAA" w:rsidP="008F0EAA">
      <w:pPr>
        <w:pStyle w:val="Heading3"/>
      </w:pPr>
      <w:bookmarkStart w:id="30" w:name="_Toc31377120"/>
      <w:r>
        <w:lastRenderedPageBreak/>
        <w:t>5 O&amp;M Support Requirements</w:t>
      </w:r>
      <w:bookmarkEnd w:id="30"/>
    </w:p>
    <w:p w14:paraId="29232F3C" w14:textId="3B2F68EF" w:rsidR="004A650B" w:rsidRDefault="004A650B" w:rsidP="004A650B">
      <w:pPr>
        <w:pStyle w:val="Body"/>
      </w:pPr>
      <w:r>
        <w:t>GPA has provided a detailed response to the O&amp;M Support requirements in Attachment</w:t>
      </w:r>
      <w:r w:rsidR="00910907">
        <w:t xml:space="preserve"> </w:t>
      </w:r>
      <w:r w:rsidR="00556029">
        <w:t>5 and Attachment 7</w:t>
      </w:r>
      <w:r>
        <w:t xml:space="preserve">. This section contains a short summary of that response. </w:t>
      </w:r>
    </w:p>
    <w:p w14:paraId="351A0DC4" w14:textId="0B58AABC" w:rsidR="004A650B" w:rsidRPr="006838B8" w:rsidRDefault="004A650B" w:rsidP="004A650B">
      <w:pPr>
        <w:pStyle w:val="Heading5"/>
      </w:pPr>
      <w:r>
        <w:t>Providing O&amp;M Support</w:t>
      </w:r>
    </w:p>
    <w:p w14:paraId="781CEBDC" w14:textId="0A9E7E60" w:rsidR="00AB40C4" w:rsidRDefault="00AB40C4" w:rsidP="004A650B">
      <w:pPr>
        <w:pStyle w:val="Body"/>
      </w:pPr>
      <w:r>
        <w:t xml:space="preserve">GPA has deployed multiple products at TVA, including the openPDC and the openXDA. As part of these </w:t>
      </w:r>
      <w:r w:rsidR="00E6486E">
        <w:t xml:space="preserve">production installations, </w:t>
      </w:r>
      <w:r>
        <w:t>GPA has been providing O&amp;M support to TVA including Level 2 and Level 3 Help desk support. GPA is confident that all requirements detailed in Attachment 7 can also be met.</w:t>
      </w:r>
      <w:r w:rsidR="00E40499">
        <w:t xml:space="preserve">  See Appendix G for more details on standard GPA product support services.</w:t>
      </w:r>
    </w:p>
    <w:p w14:paraId="19771472" w14:textId="61FFAE21" w:rsidR="00AB40C4" w:rsidRDefault="00AB40C4" w:rsidP="00AB40C4">
      <w:pPr>
        <w:pStyle w:val="Heading5"/>
      </w:pPr>
      <w:r>
        <w:t>Meeting Performance Service Level Requirements</w:t>
      </w:r>
    </w:p>
    <w:p w14:paraId="29B19251" w14:textId="2DBF56D5" w:rsidR="00AB40C4" w:rsidRPr="00AB40C4" w:rsidRDefault="00B160AB" w:rsidP="00AB40C4">
      <w:r>
        <w:t>As detailed in Attachment 7</w:t>
      </w:r>
      <w:r w:rsidR="005B7FE2">
        <w:t>,</w:t>
      </w:r>
      <w:r>
        <w:t xml:space="preserve"> GPA is confident that the operation and maintenance support requirements can be met. All standard GPA support contracts, including those with TVA, guarantee a</w:t>
      </w:r>
      <w:r w:rsidR="00445377">
        <w:t xml:space="preserve">n </w:t>
      </w:r>
      <w:r>
        <w:t>initial response from GPA within 2 hours during business hours. GPA is confident that the performance targets in Attachment 7 can be met with the resources available.</w:t>
      </w:r>
    </w:p>
    <w:p w14:paraId="341042B8" w14:textId="05482F73" w:rsidR="00AB40C4" w:rsidRDefault="00AB40C4" w:rsidP="00AB40C4">
      <w:pPr>
        <w:pStyle w:val="Heading5"/>
      </w:pPr>
      <w:r>
        <w:t>Continuing Knowledge Transfer</w:t>
      </w:r>
    </w:p>
    <w:p w14:paraId="1832FED5" w14:textId="77C527B6" w:rsidR="00AB40C4" w:rsidRDefault="00AB40C4" w:rsidP="004A650B">
      <w:pPr>
        <w:pStyle w:val="Body"/>
      </w:pPr>
      <w:r>
        <w:t>A</w:t>
      </w:r>
      <w:r w:rsidR="00445377">
        <w:t>s</w:t>
      </w:r>
      <w:r>
        <w:t xml:space="preserve"> part of the deployment of other GPA products GPA has also provided continued knowledge transfer including on-site training and extended documentation where necessary. If necessary, GPA can also provide web-based training for TVA personnel. GPA estimates approximately 16 hours of training for IT and subject matter experts combined will be sufficient for TVA to manage the openADI and take over day to day administration of the system. </w:t>
      </w:r>
    </w:p>
    <w:p w14:paraId="0C873BD6" w14:textId="22CA64B4" w:rsidR="00DB0DAB" w:rsidRDefault="00AB40C4" w:rsidP="00B160AB">
      <w:pPr>
        <w:pStyle w:val="Body"/>
      </w:pPr>
      <w:r>
        <w:t>If desired, GPA can support changes and adjustment to TVA procedures to optimize workflows for the openADI users as part of the maintenance contract.</w:t>
      </w:r>
    </w:p>
    <w:p w14:paraId="49860536" w14:textId="3582CED2" w:rsidR="00523E6B" w:rsidRDefault="00523E6B" w:rsidP="00B160AB">
      <w:pPr>
        <w:pStyle w:val="Body"/>
      </w:pPr>
    </w:p>
    <w:p w14:paraId="76451ED6" w14:textId="3322B2D8" w:rsidR="00523E6B" w:rsidRDefault="00523E6B" w:rsidP="00B160AB">
      <w:pPr>
        <w:pStyle w:val="Body"/>
      </w:pPr>
    </w:p>
    <w:p w14:paraId="5533DAD0" w14:textId="7A4C0ADD" w:rsidR="00523E6B" w:rsidRDefault="00523E6B" w:rsidP="00B160AB">
      <w:pPr>
        <w:pStyle w:val="Body"/>
      </w:pPr>
    </w:p>
    <w:p w14:paraId="5249B94B" w14:textId="44AEFC9E" w:rsidR="00523E6B" w:rsidRDefault="00523E6B" w:rsidP="00B160AB">
      <w:pPr>
        <w:pStyle w:val="Body"/>
      </w:pPr>
    </w:p>
    <w:p w14:paraId="081E0C46" w14:textId="025920F0" w:rsidR="00523E6B" w:rsidRDefault="00523E6B" w:rsidP="00B160AB">
      <w:pPr>
        <w:pStyle w:val="Body"/>
      </w:pPr>
    </w:p>
    <w:p w14:paraId="3051512F" w14:textId="6E983ADB" w:rsidR="00523E6B" w:rsidRDefault="00523E6B" w:rsidP="00B160AB">
      <w:pPr>
        <w:pStyle w:val="Body"/>
      </w:pPr>
    </w:p>
    <w:p w14:paraId="6116D705" w14:textId="38E22DD4" w:rsidR="00523E6B" w:rsidRDefault="00523E6B" w:rsidP="00B160AB">
      <w:pPr>
        <w:pStyle w:val="Body"/>
      </w:pPr>
    </w:p>
    <w:p w14:paraId="58050172" w14:textId="239244D5" w:rsidR="00523E6B" w:rsidRDefault="00523E6B" w:rsidP="00B160AB">
      <w:pPr>
        <w:pStyle w:val="Body"/>
      </w:pPr>
    </w:p>
    <w:p w14:paraId="3D6774B9" w14:textId="232B8D88" w:rsidR="00523E6B" w:rsidRDefault="00523E6B" w:rsidP="00B160AB">
      <w:pPr>
        <w:pStyle w:val="Body"/>
      </w:pPr>
    </w:p>
    <w:p w14:paraId="58E15347" w14:textId="4E28DF9D" w:rsidR="00523E6B" w:rsidRDefault="00523E6B" w:rsidP="00B160AB">
      <w:pPr>
        <w:pStyle w:val="Body"/>
      </w:pPr>
    </w:p>
    <w:p w14:paraId="111764C7" w14:textId="6ADCF168" w:rsidR="00523E6B" w:rsidRDefault="00523E6B" w:rsidP="00B160AB">
      <w:pPr>
        <w:pStyle w:val="Body"/>
      </w:pPr>
    </w:p>
    <w:p w14:paraId="39261100" w14:textId="3BB003C0" w:rsidR="00523E6B" w:rsidRDefault="00523E6B" w:rsidP="00B160AB">
      <w:pPr>
        <w:pStyle w:val="Body"/>
      </w:pPr>
    </w:p>
    <w:p w14:paraId="6A8CAA13" w14:textId="77777777" w:rsidR="00523E6B" w:rsidRDefault="00523E6B" w:rsidP="00B160AB">
      <w:pPr>
        <w:pStyle w:val="Body"/>
      </w:pPr>
    </w:p>
    <w:p w14:paraId="35B606F1" w14:textId="044B603E" w:rsidR="00DB0DAB" w:rsidRDefault="00DB0DAB" w:rsidP="00E30DE8">
      <w:pPr>
        <w:pStyle w:val="Heading3"/>
      </w:pPr>
      <w:bookmarkStart w:id="31" w:name="_Toc31377121"/>
      <w:r>
        <w:lastRenderedPageBreak/>
        <w:t>6 Project Schedule</w:t>
      </w:r>
      <w:bookmarkEnd w:id="31"/>
    </w:p>
    <w:p w14:paraId="5AB7D9BA" w14:textId="5F148604" w:rsidR="00910907" w:rsidRPr="00910907" w:rsidRDefault="00910907" w:rsidP="00910907">
      <w:r>
        <w:t>GPA has provided a Microsoft Project schedule in Attachment 8, and this section summarizes th</w:t>
      </w:r>
      <w:r w:rsidR="00A47F1F">
        <w:t>at</w:t>
      </w:r>
      <w:r>
        <w:t xml:space="preserve"> proposed schedule.</w:t>
      </w:r>
      <w:r>
        <w:br/>
      </w:r>
    </w:p>
    <w:p w14:paraId="50513FCE" w14:textId="50A776BC" w:rsidR="006314A0" w:rsidRDefault="00F3551C" w:rsidP="006314A0">
      <w:pPr>
        <w:pStyle w:val="Body"/>
      </w:pPr>
      <w:r>
        <w:t xml:space="preserve">GPA sees </w:t>
      </w:r>
      <w:r w:rsidR="00DD241C">
        <w:t xml:space="preserve">the role of the Asset Data Aggregation provider as </w:t>
      </w:r>
      <w:r w:rsidR="00B935C4">
        <w:t>one of meeting TVA’s need to integ</w:t>
      </w:r>
      <w:r w:rsidR="00DA37D5">
        <w:t xml:space="preserve">rate specific analytics once they are selected and scheduled </w:t>
      </w:r>
      <w:r w:rsidR="002A108F">
        <w:t>for installation by TVA</w:t>
      </w:r>
      <w:r w:rsidR="006314A0">
        <w:t>.</w:t>
      </w:r>
      <w:r w:rsidR="002A108F">
        <w:t xml:space="preserve"> </w:t>
      </w:r>
      <w:r w:rsidR="00477DFA">
        <w:t xml:space="preserve"> </w:t>
      </w:r>
    </w:p>
    <w:p w14:paraId="511CD158" w14:textId="48DB75C7" w:rsidR="00930A0F" w:rsidRDefault="00556CD6" w:rsidP="006314A0">
      <w:pPr>
        <w:pStyle w:val="Body"/>
      </w:pPr>
      <w:r>
        <w:t>S</w:t>
      </w:r>
      <w:r w:rsidR="00930A0F">
        <w:t xml:space="preserve">ome analytics may be easy to </w:t>
      </w:r>
      <w:r w:rsidR="00DE0CA7">
        <w:t>integrate,</w:t>
      </w:r>
      <w:r w:rsidR="00930A0F">
        <w:t xml:space="preserve"> and some may be difficult</w:t>
      </w:r>
      <w:r>
        <w:t xml:space="preserve">.  </w:t>
      </w:r>
      <w:r w:rsidR="00561429">
        <w:t>In addition, as</w:t>
      </w:r>
      <w:r>
        <w:t xml:space="preserve"> </w:t>
      </w:r>
      <w:r w:rsidR="00B946FB">
        <w:t>Asset Data Aggregation work progress</w:t>
      </w:r>
      <w:r w:rsidR="00E44E62">
        <w:t xml:space="preserve">es it should also grow progressively easier to integrate new analytics.  Therefore, </w:t>
      </w:r>
      <w:r w:rsidR="00A31F4C">
        <w:t>the schedule shown below</w:t>
      </w:r>
      <w:r w:rsidR="00A41210">
        <w:t xml:space="preserve"> in </w:t>
      </w:r>
      <w:r w:rsidR="0034031E">
        <w:t>Figure 8</w:t>
      </w:r>
      <w:r w:rsidR="00A31F4C">
        <w:t xml:space="preserve"> is </w:t>
      </w:r>
      <w:r w:rsidR="003333F7">
        <w:t xml:space="preserve">only </w:t>
      </w:r>
      <w:r w:rsidR="00A31F4C">
        <w:t xml:space="preserve">representative of </w:t>
      </w:r>
      <w:r w:rsidR="00BB42D2">
        <w:t>a</w:t>
      </w:r>
      <w:r w:rsidR="00A31F4C">
        <w:t xml:space="preserve"> process tha</w:t>
      </w:r>
      <w:r w:rsidR="00AD6841">
        <w:t xml:space="preserve">t would be followed for </w:t>
      </w:r>
      <w:r w:rsidR="00111758">
        <w:t>each analyti</w:t>
      </w:r>
      <w:r w:rsidR="00AB1438">
        <w:t>c</w:t>
      </w:r>
      <w:r w:rsidR="008915E5">
        <w:t xml:space="preserve">.  The schedule is blocked </w:t>
      </w:r>
      <w:r w:rsidR="00111E87">
        <w:t xml:space="preserve">in “units” in </w:t>
      </w:r>
      <w:r w:rsidR="0034031E">
        <w:t>Figure 8</w:t>
      </w:r>
      <w:r w:rsidR="00AB1438">
        <w:t xml:space="preserve"> where for </w:t>
      </w:r>
      <w:r w:rsidR="00A13567">
        <w:t xml:space="preserve">fixed-price </w:t>
      </w:r>
      <w:r w:rsidR="00AB1438">
        <w:t xml:space="preserve">budgeting purposes it was assumed that a </w:t>
      </w:r>
      <w:r w:rsidR="00111E87">
        <w:t>unit was</w:t>
      </w:r>
      <w:r w:rsidR="00B95D16">
        <w:t xml:space="preserve"> comprised of one analytic that required </w:t>
      </w:r>
      <w:r w:rsidR="00F13263">
        <w:t xml:space="preserve">integration with two </w:t>
      </w:r>
      <w:r w:rsidR="00CB5A08">
        <w:t xml:space="preserve">different </w:t>
      </w:r>
      <w:r w:rsidR="00773755">
        <w:t>condition data sources.</w:t>
      </w:r>
    </w:p>
    <w:p w14:paraId="4F0B1222" w14:textId="7A8BFD09" w:rsidR="009A03C3" w:rsidRDefault="009D4B62" w:rsidP="006314A0">
      <w:pPr>
        <w:pStyle w:val="Body"/>
      </w:pPr>
      <w:r>
        <w:t xml:space="preserve">In practice, GPA proposes that </w:t>
      </w:r>
      <w:r w:rsidR="004C0734">
        <w:t xml:space="preserve">within the context of the overall </w:t>
      </w:r>
      <w:r w:rsidR="00846AE1">
        <w:t xml:space="preserve">Asset Data Aggregation Design that the integration of </w:t>
      </w:r>
      <w:r w:rsidR="00E440B6">
        <w:t>specific analytic</w:t>
      </w:r>
      <w:r w:rsidR="00C4269B">
        <w:t>s</w:t>
      </w:r>
      <w:r w:rsidR="00E440B6">
        <w:t xml:space="preserve"> be defined and </w:t>
      </w:r>
      <w:r w:rsidR="003C1B2D">
        <w:t>scoped individually through use</w:t>
      </w:r>
      <w:r w:rsidR="001A69B5">
        <w:t xml:space="preserve"> of</w:t>
      </w:r>
      <w:r w:rsidR="003C1B2D">
        <w:t xml:space="preserve"> TVA’s </w:t>
      </w:r>
      <w:r w:rsidR="00A6467F">
        <w:t>Delivery Expectations Document</w:t>
      </w:r>
      <w:r w:rsidR="00DD1630">
        <w:t xml:space="preserve"> (DED)</w:t>
      </w:r>
      <w:r w:rsidR="00A6467F">
        <w:t xml:space="preserve">.  GPA has used this process </w:t>
      </w:r>
      <w:r w:rsidR="003E0724">
        <w:t xml:space="preserve">in another TVA project and has found this </w:t>
      </w:r>
      <w:r w:rsidR="00AD40C2">
        <w:t>struct</w:t>
      </w:r>
      <w:r w:rsidR="002123BA">
        <w:t>ured</w:t>
      </w:r>
      <w:r w:rsidR="00AD40C2">
        <w:t xml:space="preserve"> process to work well.</w:t>
      </w:r>
      <w:r w:rsidR="003C4323">
        <w:t xml:space="preserve">  </w:t>
      </w:r>
      <w:r w:rsidR="009A03C3">
        <w:t xml:space="preserve">In practice, it will also be possible </w:t>
      </w:r>
      <w:r w:rsidR="00BE255E">
        <w:t xml:space="preserve">for GPA to work on multiple DEDs simultaneously </w:t>
      </w:r>
      <w:r w:rsidR="00850A80">
        <w:t xml:space="preserve">rather than a strictly serial process as shown </w:t>
      </w:r>
      <w:r w:rsidR="003C4323">
        <w:t xml:space="preserve">in </w:t>
      </w:r>
      <w:r w:rsidR="0034031E">
        <w:t xml:space="preserve">Figure </w:t>
      </w:r>
      <w:r w:rsidR="00104C55">
        <w:t>8</w:t>
      </w:r>
      <w:r w:rsidR="00850A80">
        <w:t>.</w:t>
      </w:r>
    </w:p>
    <w:p w14:paraId="516B19E4" w14:textId="7457B5F8" w:rsidR="00163D1D" w:rsidRDefault="00C60681" w:rsidP="006314A0">
      <w:pPr>
        <w:pStyle w:val="Body"/>
      </w:pPr>
      <w:r>
        <w:t xml:space="preserve">GPA also </w:t>
      </w:r>
      <w:r w:rsidR="00862F22">
        <w:t>appreciates its role of be</w:t>
      </w:r>
      <w:r w:rsidR="001A6A52">
        <w:t xml:space="preserve">ing </w:t>
      </w:r>
      <w:r w:rsidR="007263B1">
        <w:t xml:space="preserve">an important point of </w:t>
      </w:r>
      <w:r w:rsidR="00020209">
        <w:t>interaction with</w:t>
      </w:r>
      <w:r w:rsidR="001A6A52">
        <w:t xml:space="preserve"> </w:t>
      </w:r>
      <w:r w:rsidR="00B55266">
        <w:t>the anal</w:t>
      </w:r>
      <w:r w:rsidR="00A56EF9">
        <w:t xml:space="preserve">ytics vendor’s technical staff </w:t>
      </w:r>
      <w:r w:rsidR="002F1C12">
        <w:t xml:space="preserve">to define the nature of the data to be exchanged and </w:t>
      </w:r>
      <w:r w:rsidR="006D7E90">
        <w:t xml:space="preserve">to align GPA’s </w:t>
      </w:r>
      <w:r w:rsidR="00296226">
        <w:t xml:space="preserve">activities and </w:t>
      </w:r>
      <w:r w:rsidR="0027235E">
        <w:t>proprieties with the schedule for analytic delivery.</w:t>
      </w:r>
      <w:r w:rsidR="001130A3">
        <w:t xml:space="preserve"> </w:t>
      </w:r>
    </w:p>
    <w:p w14:paraId="3FDB27B7" w14:textId="381C89CF" w:rsidR="00CD69EE" w:rsidRDefault="006341EB" w:rsidP="006314A0">
      <w:pPr>
        <w:pStyle w:val="Body"/>
      </w:pPr>
      <w:r>
        <w:t xml:space="preserve">GPA is confident that </w:t>
      </w:r>
      <w:r w:rsidR="003A1995">
        <w:t>we</w:t>
      </w:r>
      <w:r>
        <w:t xml:space="preserve"> can </w:t>
      </w:r>
      <w:r w:rsidR="003A1995">
        <w:t>meet</w:t>
      </w:r>
      <w:r>
        <w:t xml:space="preserve"> </w:t>
      </w:r>
      <w:r w:rsidR="009325A9">
        <w:t xml:space="preserve">TVA’s Minimum Viable Product date of October 1, 2020 for </w:t>
      </w:r>
      <w:r w:rsidR="00F47EF5">
        <w:t>analytics for batteries and breakers</w:t>
      </w:r>
      <w:r w:rsidR="00854A31">
        <w:t xml:space="preserve">.  As part of this delivery, </w:t>
      </w:r>
      <w:r w:rsidR="001A69B5">
        <w:t xml:space="preserve">the </w:t>
      </w:r>
      <w:r w:rsidR="00854A31">
        <w:t>beta product for the openADI Data Validation and Data Loader Service and the openADI database will be delivered to TVA.</w:t>
      </w:r>
    </w:p>
    <w:p w14:paraId="06D69D66" w14:textId="1417628C" w:rsidR="00C44901" w:rsidRDefault="00606C3A" w:rsidP="00C44901">
      <w:pPr>
        <w:pStyle w:val="figure"/>
      </w:pPr>
      <w:r>
        <w:drawing>
          <wp:inline distT="0" distB="0" distL="0" distR="0" wp14:anchorId="0564D51A" wp14:editId="59479893">
            <wp:extent cx="6104434" cy="3057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7786" cy="3064213"/>
                    </a:xfrm>
                    <a:prstGeom prst="rect">
                      <a:avLst/>
                    </a:prstGeom>
                    <a:noFill/>
                    <a:ln>
                      <a:noFill/>
                    </a:ln>
                  </pic:spPr>
                </pic:pic>
              </a:graphicData>
            </a:graphic>
          </wp:inline>
        </w:drawing>
      </w:r>
    </w:p>
    <w:p w14:paraId="74A809A6" w14:textId="650AB7DC" w:rsidR="00CD69EE" w:rsidRDefault="0034031E" w:rsidP="00D6361C">
      <w:pPr>
        <w:pStyle w:val="FigureDesc"/>
      </w:pPr>
      <w:r>
        <w:t xml:space="preserve">Figure </w:t>
      </w:r>
      <w:r w:rsidR="00104C55">
        <w:t>8</w:t>
      </w:r>
      <w:r w:rsidR="00CD69EE">
        <w:t xml:space="preserve">. </w:t>
      </w:r>
      <w:r w:rsidR="00947952">
        <w:t>High Level Project Schedule</w:t>
      </w:r>
    </w:p>
    <w:p w14:paraId="1E7BE384" w14:textId="436FB379" w:rsidR="008C1F53" w:rsidRDefault="00370F95" w:rsidP="006D6152">
      <w:pPr>
        <w:pStyle w:val="Heading1"/>
      </w:pPr>
      <w:bookmarkStart w:id="32" w:name="_Toc31377122"/>
      <w:bookmarkStart w:id="33" w:name="_Toc287274759"/>
      <w:r>
        <w:lastRenderedPageBreak/>
        <w:t>Certification</w:t>
      </w:r>
      <w:r w:rsidR="008B52AA">
        <w:t xml:space="preserve"> Letter</w:t>
      </w:r>
      <w:bookmarkEnd w:id="32"/>
    </w:p>
    <w:p w14:paraId="6A9864A7" w14:textId="430F89D2" w:rsidR="00370F95" w:rsidRDefault="00370F95" w:rsidP="008A7399">
      <w:pPr>
        <w:pStyle w:val="Body"/>
      </w:pPr>
    </w:p>
    <w:p w14:paraId="4627128F" w14:textId="77777777" w:rsidR="00E07422" w:rsidRDefault="00E07422" w:rsidP="008A7399">
      <w:pPr>
        <w:pStyle w:val="Body"/>
      </w:pPr>
    </w:p>
    <w:p w14:paraId="19438E1D" w14:textId="77777777" w:rsidR="008A7399" w:rsidRDefault="008A7399" w:rsidP="008A7399">
      <w:r>
        <w:t>January 31, 2020</w:t>
      </w:r>
    </w:p>
    <w:p w14:paraId="4FAFBA70" w14:textId="77777777" w:rsidR="008A7399" w:rsidRDefault="008A7399" w:rsidP="008A7399"/>
    <w:p w14:paraId="2390349A" w14:textId="77777777" w:rsidR="008A7399" w:rsidRDefault="008A7399" w:rsidP="008A7399">
      <w:r>
        <w:t>Thomas L. Kuhnert</w:t>
      </w:r>
    </w:p>
    <w:p w14:paraId="6E3ED095" w14:textId="77777777" w:rsidR="008A7399" w:rsidRDefault="008A7399" w:rsidP="008A7399">
      <w:r>
        <w:t>Tennessee Valley Authority</w:t>
      </w:r>
      <w:r>
        <w:br/>
        <w:t>Supply Chain – Sourcing, MR 5F-C</w:t>
      </w:r>
    </w:p>
    <w:p w14:paraId="7AD4DFC2" w14:textId="77777777" w:rsidR="008A7399" w:rsidRDefault="008A7399" w:rsidP="008A7399">
      <w:r>
        <w:t>1101 Market Street</w:t>
      </w:r>
    </w:p>
    <w:p w14:paraId="53990A97" w14:textId="77777777" w:rsidR="008A7399" w:rsidRDefault="008A7399" w:rsidP="008A7399">
      <w:r>
        <w:t>Chattanooga, TN 37401</w:t>
      </w:r>
    </w:p>
    <w:p w14:paraId="31381919" w14:textId="77777777" w:rsidR="008A7399" w:rsidRDefault="008A7399" w:rsidP="008A7399"/>
    <w:p w14:paraId="5027B08B" w14:textId="77777777" w:rsidR="008A7399" w:rsidRPr="005B3A69" w:rsidRDefault="008A7399" w:rsidP="008A7399">
      <w:pPr>
        <w:rPr>
          <w:b/>
          <w:bCs/>
        </w:rPr>
      </w:pPr>
      <w:r w:rsidRPr="005B3A69">
        <w:rPr>
          <w:b/>
          <w:bCs/>
        </w:rPr>
        <w:t>Re: TVA Solicitation 99419, “Asset Data Aggregation and Condition Analytics Tools”</w:t>
      </w:r>
    </w:p>
    <w:p w14:paraId="1DACA3E2" w14:textId="77777777" w:rsidR="008A7399" w:rsidRPr="005B3A69" w:rsidRDefault="008A7399" w:rsidP="008A7399">
      <w:pPr>
        <w:rPr>
          <w:b/>
          <w:bCs/>
        </w:rPr>
      </w:pPr>
    </w:p>
    <w:p w14:paraId="0317D159" w14:textId="6F72E681" w:rsidR="008A7399" w:rsidRDefault="008A7399" w:rsidP="008A7399">
      <w:r>
        <w:t>Mr. Kuhnert,</w:t>
      </w:r>
    </w:p>
    <w:p w14:paraId="43651247" w14:textId="1171FE33" w:rsidR="008A7399" w:rsidRDefault="001A69B5" w:rsidP="008A7399">
      <w:pPr>
        <w:pStyle w:val="Body"/>
      </w:pPr>
      <w:r>
        <w:br/>
      </w:r>
      <w:r w:rsidR="00E07422">
        <w:t>Regarding</w:t>
      </w:r>
      <w:r w:rsidR="008A7399">
        <w:t xml:space="preserve"> the subject solicitation, </w:t>
      </w:r>
    </w:p>
    <w:p w14:paraId="53807D72" w14:textId="18D92622" w:rsidR="008A7399" w:rsidRDefault="008A7399" w:rsidP="008A7399">
      <w:pPr>
        <w:pStyle w:val="Body"/>
        <w:numPr>
          <w:ilvl w:val="0"/>
          <w:numId w:val="41"/>
        </w:numPr>
      </w:pPr>
      <w:r>
        <w:t xml:space="preserve">GPA has arrived at prices and cost data independently, without consultation, communication, or agreement with any other party including but not limited to other </w:t>
      </w:r>
      <w:r w:rsidR="00E07422">
        <w:t>o</w:t>
      </w:r>
      <w:r>
        <w:t>fferors or competitors.</w:t>
      </w:r>
    </w:p>
    <w:p w14:paraId="03597302" w14:textId="638A5DF4" w:rsidR="008A7399" w:rsidRDefault="008A7399" w:rsidP="008A7399">
      <w:pPr>
        <w:pStyle w:val="Body"/>
        <w:numPr>
          <w:ilvl w:val="0"/>
          <w:numId w:val="41"/>
        </w:numPr>
      </w:pPr>
      <w:r>
        <w:t xml:space="preserve">Prices and cost data submitted by GPA have not been knowingly disclosed, directly or indirectly, to any other party including but not limited to other </w:t>
      </w:r>
      <w:r w:rsidR="00E07422">
        <w:t>o</w:t>
      </w:r>
      <w:r>
        <w:t>fferors or competitors.  GPA agrees not to disclose</w:t>
      </w:r>
      <w:r w:rsidR="00E07422">
        <w:t xml:space="preserve"> the</w:t>
      </w:r>
      <w:r>
        <w:t xml:space="preserve"> prices and cost data</w:t>
      </w:r>
      <w:r w:rsidR="00E07422">
        <w:t xml:space="preserve"> submitted to TVA</w:t>
      </w:r>
      <w:r>
        <w:t xml:space="preserve"> prior to the award of </w:t>
      </w:r>
      <w:r w:rsidR="00E07422">
        <w:t>a c</w:t>
      </w:r>
      <w:r>
        <w:t>ontract unless otherwise required by law.</w:t>
      </w:r>
    </w:p>
    <w:p w14:paraId="199DB91E" w14:textId="26E1B9D7" w:rsidR="008A7399" w:rsidRDefault="008A7399" w:rsidP="008A7399">
      <w:pPr>
        <w:pStyle w:val="Body"/>
        <w:numPr>
          <w:ilvl w:val="0"/>
          <w:numId w:val="41"/>
        </w:numPr>
      </w:pPr>
      <w:r>
        <w:t>GPA has and will not attempt to induce any other person or firm to submit or to not submit a price proposal on this solicitation for the purpose of restricting competition.</w:t>
      </w:r>
    </w:p>
    <w:p w14:paraId="5FB5C3D9" w14:textId="5B273572" w:rsidR="00E07422" w:rsidRDefault="00E07422" w:rsidP="00F53FCC">
      <w:pPr>
        <w:pStyle w:val="Body"/>
      </w:pPr>
    </w:p>
    <w:p w14:paraId="0A3A398C" w14:textId="698CCE16" w:rsidR="00E07422" w:rsidRDefault="00E07422" w:rsidP="00F53FCC">
      <w:pPr>
        <w:pStyle w:val="Body"/>
      </w:pPr>
    </w:p>
    <w:p w14:paraId="4FC3C801" w14:textId="77777777" w:rsidR="00E07422" w:rsidRPr="00B8300F" w:rsidRDefault="00E07422" w:rsidP="00E07422">
      <w:pPr>
        <w:pStyle w:val="bodysignature"/>
      </w:pPr>
      <w:r w:rsidRPr="00B8300F">
        <w:t>Sincerely,</w:t>
      </w:r>
    </w:p>
    <w:p w14:paraId="24DCB564" w14:textId="77777777" w:rsidR="00E07422" w:rsidRPr="00B8300F" w:rsidRDefault="00E07422" w:rsidP="00E07422">
      <w:pPr>
        <w:pStyle w:val="bodysignature"/>
      </w:pPr>
      <w:r w:rsidRPr="00B8300F">
        <w:rPr>
          <w:noProof/>
        </w:rPr>
        <w:drawing>
          <wp:inline distT="0" distB="0" distL="0" distR="0" wp14:anchorId="0F3A9E1A" wp14:editId="56CFF3AE">
            <wp:extent cx="2080260" cy="396240"/>
            <wp:effectExtent l="19050" t="0" r="0" b="0"/>
            <wp:docPr id="8" name="Picture 2" descr="FRR---Signatur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R---Signature-(transparent)"/>
                    <pic:cNvPicPr>
                      <a:picLocks noChangeAspect="1" noChangeArrowheads="1"/>
                    </pic:cNvPicPr>
                  </pic:nvPicPr>
                  <pic:blipFill>
                    <a:blip r:embed="rId27"/>
                    <a:srcRect/>
                    <a:stretch>
                      <a:fillRect/>
                    </a:stretch>
                  </pic:blipFill>
                  <pic:spPr bwMode="auto">
                    <a:xfrm>
                      <a:off x="0" y="0"/>
                      <a:ext cx="2080260" cy="396240"/>
                    </a:xfrm>
                    <a:prstGeom prst="rect">
                      <a:avLst/>
                    </a:prstGeom>
                    <a:noFill/>
                    <a:ln w="9525">
                      <a:noFill/>
                      <a:miter lim="800000"/>
                      <a:headEnd/>
                      <a:tailEnd/>
                    </a:ln>
                  </pic:spPr>
                </pic:pic>
              </a:graphicData>
            </a:graphic>
          </wp:inline>
        </w:drawing>
      </w:r>
    </w:p>
    <w:p w14:paraId="42278DCD" w14:textId="77777777" w:rsidR="00E07422" w:rsidRPr="00B8300F" w:rsidRDefault="00E07422" w:rsidP="00E07422">
      <w:pPr>
        <w:pStyle w:val="bodysignature"/>
      </w:pPr>
      <w:r w:rsidRPr="00B8300F">
        <w:t>F. Russell Robertson</w:t>
      </w:r>
    </w:p>
    <w:p w14:paraId="0277CE76" w14:textId="77777777" w:rsidR="00E07422" w:rsidRPr="00B8300F" w:rsidRDefault="00E07422" w:rsidP="00E07422">
      <w:pPr>
        <w:pStyle w:val="bodysignature"/>
      </w:pPr>
      <w:r w:rsidRPr="00B8300F">
        <w:t>V</w:t>
      </w:r>
      <w:r>
        <w:t xml:space="preserve">ice </w:t>
      </w:r>
      <w:r w:rsidRPr="00B8300F">
        <w:t>P</w:t>
      </w:r>
      <w:r>
        <w:t>resident</w:t>
      </w:r>
      <w:r w:rsidRPr="00B8300F">
        <w:t>, Grid Solutions</w:t>
      </w:r>
    </w:p>
    <w:p w14:paraId="4938484D" w14:textId="77777777" w:rsidR="00E07422" w:rsidRPr="00B8300F" w:rsidRDefault="00E07422" w:rsidP="00E07422">
      <w:pPr>
        <w:pStyle w:val="bodysignature"/>
      </w:pPr>
      <w:r w:rsidRPr="00B8300F">
        <w:t>Grid Protection Alliance</w:t>
      </w:r>
      <w:r>
        <w:t>, Inc.</w:t>
      </w:r>
    </w:p>
    <w:p w14:paraId="59CB0C64" w14:textId="77777777" w:rsidR="00E07422" w:rsidRPr="00370F95" w:rsidRDefault="00E07422" w:rsidP="00F53FCC">
      <w:pPr>
        <w:pStyle w:val="Body"/>
      </w:pPr>
    </w:p>
    <w:p w14:paraId="096D250D" w14:textId="77777777" w:rsidR="00F53FCC" w:rsidRDefault="00F53FCC">
      <w:pPr>
        <w:rPr>
          <w:rFonts w:ascii="Arial" w:hAnsi="Arial" w:cs="Arial"/>
          <w:b/>
          <w:color w:val="006600"/>
          <w:sz w:val="28"/>
          <w:szCs w:val="28"/>
        </w:rPr>
      </w:pPr>
      <w:bookmarkStart w:id="34" w:name="_Toc490482081"/>
      <w:r>
        <w:br w:type="page"/>
      </w:r>
    </w:p>
    <w:p w14:paraId="191F450B" w14:textId="623ABFC5" w:rsidR="00687A85" w:rsidRDefault="001E4871" w:rsidP="0017125C">
      <w:pPr>
        <w:pStyle w:val="Heading1"/>
      </w:pPr>
      <w:bookmarkStart w:id="35" w:name="_Toc31377123"/>
      <w:r>
        <w:lastRenderedPageBreak/>
        <w:t xml:space="preserve">Proposal Pricing and </w:t>
      </w:r>
      <w:r w:rsidR="00687A85">
        <w:t>Cost</w:t>
      </w:r>
      <w:bookmarkEnd w:id="35"/>
    </w:p>
    <w:p w14:paraId="684A8E5A" w14:textId="10F63E29" w:rsidR="004A39E4" w:rsidRDefault="003A3D9D" w:rsidP="00641540">
      <w:pPr>
        <w:pStyle w:val="Body"/>
      </w:pPr>
      <w:r>
        <w:t xml:space="preserve">GPA has provided two pricing workbooks as attachments to this proposal.  </w:t>
      </w:r>
      <w:r w:rsidR="00015ACE">
        <w:t xml:space="preserve">GPA is prepared to move forward with the required fixed-price quote </w:t>
      </w:r>
      <w:r w:rsidR="008829C7">
        <w:t xml:space="preserve">(Attachment 11) </w:t>
      </w:r>
      <w:r w:rsidR="00015ACE">
        <w:t xml:space="preserve">should TVA like GPA to do so.  However, GPA has </w:t>
      </w:r>
      <w:r w:rsidR="00786794">
        <w:t xml:space="preserve">also </w:t>
      </w:r>
      <w:r w:rsidR="00015ACE">
        <w:t>included a</w:t>
      </w:r>
      <w:r w:rsidR="00152948">
        <w:t>n</w:t>
      </w:r>
      <w:r w:rsidR="00015ACE">
        <w:t xml:space="preserve"> </w:t>
      </w:r>
      <w:r w:rsidR="00D94167">
        <w:t xml:space="preserve">alternative proposal that is </w:t>
      </w:r>
      <w:r w:rsidR="00015ACE">
        <w:t xml:space="preserve">T&amp;M </w:t>
      </w:r>
      <w:r w:rsidR="00D94167">
        <w:t xml:space="preserve">based that </w:t>
      </w:r>
      <w:r w:rsidR="00152948">
        <w:t>meets TVA requirements at a significantly lower cost</w:t>
      </w:r>
      <w:r w:rsidR="00737DED">
        <w:t xml:space="preserve"> than that provided by the fixed-price </w:t>
      </w:r>
      <w:r w:rsidR="008101FC">
        <w:t>proposal.</w:t>
      </w:r>
    </w:p>
    <w:p w14:paraId="1AD8361B" w14:textId="3976B945" w:rsidR="00287EDC" w:rsidRPr="00287EDC" w:rsidRDefault="00A678BF" w:rsidP="00287EDC">
      <w:pPr>
        <w:pStyle w:val="Body"/>
      </w:pPr>
      <w:r>
        <w:t xml:space="preserve">In </w:t>
      </w:r>
      <w:r w:rsidR="004432DE">
        <w:t>GPA’s T&amp;M quote, or alternative proposal (See Attachment 12)</w:t>
      </w:r>
      <w:r>
        <w:t xml:space="preserve">, </w:t>
      </w:r>
      <w:r w:rsidR="00AC1823" w:rsidRPr="00AC1823">
        <w:t xml:space="preserve">GPA </w:t>
      </w:r>
      <w:r>
        <w:t>will work</w:t>
      </w:r>
      <w:r w:rsidR="00AC1823" w:rsidRPr="00AC1823">
        <w:t xml:space="preserve"> </w:t>
      </w:r>
      <w:r w:rsidRPr="00AC1823">
        <w:t>collaboratively</w:t>
      </w:r>
      <w:r w:rsidR="00AC1823" w:rsidRPr="00AC1823">
        <w:t xml:space="preserve"> with TVA to determine the preferred integration option</w:t>
      </w:r>
      <w:r w:rsidR="00D16040">
        <w:t xml:space="preserve"> for a specific analytic</w:t>
      </w:r>
      <w:r w:rsidR="00AC1823" w:rsidRPr="00AC1823">
        <w:t xml:space="preserve"> from both TVA technical and business perspectives</w:t>
      </w:r>
      <w:r w:rsidR="001A69B5">
        <w:t>,</w:t>
      </w:r>
      <w:r w:rsidR="00AC1823" w:rsidRPr="00AC1823">
        <w:t xml:space="preserve"> and then</w:t>
      </w:r>
      <w:r w:rsidR="00B6526E">
        <w:t xml:space="preserve"> GPA will</w:t>
      </w:r>
      <w:r w:rsidR="00AC1823" w:rsidRPr="00AC1823">
        <w:t xml:space="preserve"> implement that option.   </w:t>
      </w:r>
      <w:r w:rsidR="00550DAB">
        <w:t>With</w:t>
      </w:r>
      <w:r w:rsidR="00AC1823" w:rsidRPr="00AC1823">
        <w:t xml:space="preserve"> this </w:t>
      </w:r>
      <w:r w:rsidR="00B6526E">
        <w:t xml:space="preserve">alternative GPA </w:t>
      </w:r>
      <w:r w:rsidR="00AC1823" w:rsidRPr="00AC1823">
        <w:t>proposal, TVA can buy as little or a</w:t>
      </w:r>
      <w:r w:rsidR="001A69B5">
        <w:t>s</w:t>
      </w:r>
      <w:r w:rsidR="00AC1823" w:rsidRPr="00AC1823">
        <w:t xml:space="preserve"> much Data Aggregation service support from GPA as is needed based on the capabilities of the analytic platform and </w:t>
      </w:r>
      <w:r w:rsidR="004E4E98">
        <w:t xml:space="preserve">its </w:t>
      </w:r>
      <w:r w:rsidR="00AC1823" w:rsidRPr="00AC1823">
        <w:t>internalized integration functionality</w:t>
      </w:r>
      <w:r w:rsidR="00550DAB">
        <w:t xml:space="preserve"> </w:t>
      </w:r>
      <w:r w:rsidR="004E4E98">
        <w:t>as well as</w:t>
      </w:r>
      <w:r w:rsidR="008C62F8">
        <w:t xml:space="preserve"> the degree to which TVA may wish to </w:t>
      </w:r>
      <w:r w:rsidR="00E019D9">
        <w:t xml:space="preserve">directly </w:t>
      </w:r>
      <w:r w:rsidR="008C62F8">
        <w:t>participate in this integration</w:t>
      </w:r>
      <w:r w:rsidR="004E4E98">
        <w:t xml:space="preserve">/aggregation effort </w:t>
      </w:r>
      <w:r w:rsidR="008C62F8">
        <w:t>– as may be the case for cloud-based analytics.</w:t>
      </w:r>
      <w:r w:rsidR="00540CD9">
        <w:t xml:space="preserve"> </w:t>
      </w:r>
      <w:r w:rsidR="00622507">
        <w:t xml:space="preserve">The </w:t>
      </w:r>
      <w:r w:rsidR="00287EDC">
        <w:t>Asset Data Aggregation</w:t>
      </w:r>
      <w:r w:rsidR="00287EDC" w:rsidRPr="00287EDC">
        <w:t xml:space="preserve"> </w:t>
      </w:r>
      <w:r w:rsidR="00570D16">
        <w:t xml:space="preserve">are lower under the alternative proposal </w:t>
      </w:r>
      <w:r w:rsidR="00B97FE6">
        <w:t xml:space="preserve">as </w:t>
      </w:r>
      <w:r w:rsidR="00274FEA">
        <w:t xml:space="preserve">a result of the </w:t>
      </w:r>
      <w:r w:rsidR="001450D9">
        <w:t xml:space="preserve">reduction of financial risk </w:t>
      </w:r>
      <w:r w:rsidR="00540CD9">
        <w:t>to</w:t>
      </w:r>
      <w:r w:rsidR="001450D9">
        <w:t xml:space="preserve"> GPA </w:t>
      </w:r>
      <w:r w:rsidR="00540CD9">
        <w:t>from the rather</w:t>
      </w:r>
      <w:r w:rsidR="001450D9">
        <w:t xml:space="preserve"> </w:t>
      </w:r>
      <w:r w:rsidR="00287EDC" w:rsidRPr="00287EDC">
        <w:t xml:space="preserve">large uncertainties </w:t>
      </w:r>
      <w:r w:rsidR="00C07433">
        <w:t>in th</w:t>
      </w:r>
      <w:r w:rsidR="000B64B6">
        <w:t>e specific</w:t>
      </w:r>
      <w:r w:rsidR="008A340D">
        <w:t xml:space="preserve"> information needs of the</w:t>
      </w:r>
      <w:r w:rsidR="00BA0D71">
        <w:t xml:space="preserve"> individual</w:t>
      </w:r>
      <w:r w:rsidR="007A603F">
        <w:t xml:space="preserve"> best-of-breed</w:t>
      </w:r>
      <w:r w:rsidR="000B64B6">
        <w:t xml:space="preserve"> analytic packages </w:t>
      </w:r>
      <w:r w:rsidR="00540CD9">
        <w:t xml:space="preserve">that </w:t>
      </w:r>
      <w:r w:rsidR="005766CD">
        <w:t>will ultimately be selected by TVA</w:t>
      </w:r>
      <w:r w:rsidR="00287EDC" w:rsidRPr="00287EDC">
        <w:t>.</w:t>
      </w:r>
    </w:p>
    <w:p w14:paraId="734DAA6F" w14:textId="36B9E7FD" w:rsidR="001C05D0" w:rsidRDefault="002408AA" w:rsidP="00680136">
      <w:pPr>
        <w:pStyle w:val="Body"/>
      </w:pPr>
      <w:r>
        <w:t>To manage TVA risk</w:t>
      </w:r>
      <w:r w:rsidR="00C9593D">
        <w:t xml:space="preserve"> under the alternative GPA proposal, </w:t>
      </w:r>
      <w:r w:rsidR="00EA733B">
        <w:t xml:space="preserve">GPA </w:t>
      </w:r>
      <w:r w:rsidR="00856784">
        <w:t>can</w:t>
      </w:r>
      <w:r w:rsidR="009C7EAD">
        <w:t xml:space="preserve"> </w:t>
      </w:r>
      <w:r w:rsidR="00EA733B">
        <w:t>deliver the software components of th</w:t>
      </w:r>
      <w:r w:rsidR="008F348B">
        <w:t>e</w:t>
      </w:r>
      <w:r w:rsidR="00EA733B">
        <w:t xml:space="preserve"> project at </w:t>
      </w:r>
      <w:r w:rsidR="009C7EAD">
        <w:t>a</w:t>
      </w:r>
      <w:r w:rsidR="00856784">
        <w:t xml:space="preserve"> mutually agreed upon</w:t>
      </w:r>
      <w:r w:rsidR="009C7EAD">
        <w:t xml:space="preserve"> </w:t>
      </w:r>
      <w:r w:rsidR="00EA733B">
        <w:t xml:space="preserve">fixed price to be determined at the time </w:t>
      </w:r>
      <w:r w:rsidR="00A42D3E">
        <w:t xml:space="preserve">the </w:t>
      </w:r>
      <w:r w:rsidR="00EA733B">
        <w:t>DED</w:t>
      </w:r>
      <w:r w:rsidR="00A42D3E">
        <w:t xml:space="preserve"> is</w:t>
      </w:r>
      <w:r w:rsidR="00EA733B">
        <w:t xml:space="preserve"> developed for</w:t>
      </w:r>
      <w:r w:rsidR="003505EC">
        <w:t xml:space="preserve"> an</w:t>
      </w:r>
      <w:r w:rsidR="00EA733B">
        <w:t xml:space="preserve"> </w:t>
      </w:r>
      <w:r w:rsidR="00856784">
        <w:t xml:space="preserve">individual </w:t>
      </w:r>
      <w:r w:rsidR="00EA733B">
        <w:t xml:space="preserve">software </w:t>
      </w:r>
      <w:r w:rsidR="008F348B">
        <w:t>compon</w:t>
      </w:r>
      <w:r w:rsidR="00A42D3E">
        <w:t>ent</w:t>
      </w:r>
      <w:r w:rsidR="00FB5BB6">
        <w:t xml:space="preserve"> – </w:t>
      </w:r>
      <w:r w:rsidR="00404261">
        <w:t xml:space="preserve"> e.g., </w:t>
      </w:r>
      <w:r w:rsidR="00FB5BB6">
        <w:t>a new data source or a new analy</w:t>
      </w:r>
      <w:r w:rsidR="00404261">
        <w:t>tic.</w:t>
      </w:r>
    </w:p>
    <w:p w14:paraId="24959173" w14:textId="03FCF326" w:rsidR="00680136" w:rsidRDefault="004F30C1" w:rsidP="00680136">
      <w:pPr>
        <w:pStyle w:val="Body"/>
      </w:pPr>
      <w:r>
        <w:t xml:space="preserve">GPA is also willing to </w:t>
      </w:r>
      <w:r w:rsidR="00990780">
        <w:t xml:space="preserve">discuss and </w:t>
      </w:r>
      <w:r w:rsidR="00BB1560">
        <w:t>thoughtfully</w:t>
      </w:r>
      <w:r w:rsidR="00990780">
        <w:t xml:space="preserve"> con</w:t>
      </w:r>
      <w:r w:rsidR="00BB1560">
        <w:t xml:space="preserve">sider </w:t>
      </w:r>
      <w:r w:rsidR="00F93219">
        <w:t xml:space="preserve">other pricing models </w:t>
      </w:r>
      <w:r w:rsidR="00051FC5">
        <w:t xml:space="preserve">suggested by TVA </w:t>
      </w:r>
      <w:r w:rsidR="00F93219">
        <w:t xml:space="preserve">or re-evaluate the current fixed price cost should </w:t>
      </w:r>
      <w:r w:rsidR="006C6C2A">
        <w:t>more be known</w:t>
      </w:r>
      <w:r w:rsidR="00051FC5">
        <w:t xml:space="preserve"> to reduce </w:t>
      </w:r>
      <w:r w:rsidR="00943DE7">
        <w:t>uncertainty and GPA financial risk.</w:t>
      </w:r>
    </w:p>
    <w:p w14:paraId="5FAAF545" w14:textId="14031C75" w:rsidR="001C05D0" w:rsidRDefault="001C05D0"/>
    <w:p w14:paraId="56676F79" w14:textId="111EAFC8" w:rsidR="001C05D0" w:rsidRDefault="001C05D0"/>
    <w:p w14:paraId="614A5083" w14:textId="5C21B661" w:rsidR="001C05D0" w:rsidRDefault="001C05D0"/>
    <w:p w14:paraId="145E94F0" w14:textId="0C346B93" w:rsidR="00080844" w:rsidRDefault="00080844">
      <w:pPr>
        <w:rPr>
          <w:rFonts w:ascii="Calibri" w:hAnsi="Calibri" w:cstheme="minorHAnsi"/>
        </w:rPr>
      </w:pPr>
      <w:r>
        <w:rPr>
          <w:rFonts w:ascii="Calibri" w:hAnsi="Calibri" w:cstheme="minorHAnsi"/>
        </w:rPr>
        <w:br w:type="page"/>
      </w:r>
    </w:p>
    <w:p w14:paraId="0936E905" w14:textId="377F3511" w:rsidR="00874628" w:rsidRDefault="00874628" w:rsidP="00874628">
      <w:pPr>
        <w:pStyle w:val="Heading1"/>
      </w:pPr>
      <w:bookmarkStart w:id="36" w:name="_Toc31377124"/>
      <w:r>
        <w:lastRenderedPageBreak/>
        <w:t>Small Business Contracting Plan</w:t>
      </w:r>
      <w:bookmarkEnd w:id="36"/>
    </w:p>
    <w:p w14:paraId="1A962BB4" w14:textId="51073996" w:rsidR="00874628" w:rsidRDefault="001C05D0" w:rsidP="00874628">
      <w:pPr>
        <w:pStyle w:val="Body"/>
      </w:pPr>
      <w:r>
        <w:t xml:space="preserve">No project subcontracts are planned.  </w:t>
      </w:r>
      <w:r w:rsidR="004970AC">
        <w:t>GPA is a small busine</w:t>
      </w:r>
      <w:r>
        <w:t>ss.</w:t>
      </w:r>
    </w:p>
    <w:p w14:paraId="2470BF30" w14:textId="5EF3C786" w:rsidR="00C31910" w:rsidRDefault="00C31910" w:rsidP="00270542">
      <w:pPr>
        <w:pStyle w:val="Body"/>
      </w:pPr>
    </w:p>
    <w:p w14:paraId="493A41C3" w14:textId="5AF9A6C3" w:rsidR="00AE1F4C" w:rsidRDefault="00AE1F4C">
      <w:pPr>
        <w:rPr>
          <w:rFonts w:ascii="Calibri" w:hAnsi="Calibri" w:cstheme="minorHAnsi"/>
        </w:rPr>
      </w:pPr>
      <w:r>
        <w:br w:type="page"/>
      </w:r>
    </w:p>
    <w:p w14:paraId="11D4120D" w14:textId="67C503EC" w:rsidR="006D57B9" w:rsidRPr="00F53FCC" w:rsidRDefault="006711E1" w:rsidP="00F53FCC">
      <w:pPr>
        <w:pStyle w:val="Heading2"/>
      </w:pPr>
      <w:bookmarkStart w:id="37" w:name="_Toc31377125"/>
      <w:bookmarkEnd w:id="34"/>
      <w:r>
        <w:lastRenderedPageBreak/>
        <w:t>Appendix A</w:t>
      </w:r>
      <w:r w:rsidR="00080844">
        <w:t xml:space="preserve">: </w:t>
      </w:r>
      <w:r w:rsidR="00370F95" w:rsidRPr="00F53FCC">
        <w:t>The MIT License</w:t>
      </w:r>
      <w:bookmarkEnd w:id="37"/>
    </w:p>
    <w:p w14:paraId="0FC5410F" w14:textId="77777777" w:rsidR="006D57B9" w:rsidRDefault="006D57B9" w:rsidP="006D57B9">
      <w:pPr>
        <w:pStyle w:val="Body"/>
      </w:pPr>
      <w:r>
        <w:t xml:space="preserve">Copyright © Grid Protection Alliance  </w:t>
      </w:r>
    </w:p>
    <w:p w14:paraId="1D5DA91A" w14:textId="77777777" w:rsidR="006D57B9" w:rsidRDefault="006D57B9" w:rsidP="006D57B9">
      <w:pPr>
        <w:pStyle w:val="Body"/>
      </w:pPr>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D2D1D51" w14:textId="77777777" w:rsidR="006D57B9" w:rsidRDefault="006D57B9" w:rsidP="006D57B9">
      <w:pPr>
        <w:pStyle w:val="Body"/>
      </w:pPr>
      <w:r>
        <w:t>The above copyright notice and this permission notice shall be included in all copies or substantial portions of the Software.</w:t>
      </w:r>
    </w:p>
    <w:p w14:paraId="36CA8238" w14:textId="77777777" w:rsidR="006D57B9" w:rsidRDefault="006D57B9" w:rsidP="006D57B9">
      <w:pPr>
        <w:pStyle w:val="Body"/>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1F2775D" w14:textId="77777777" w:rsidR="00CE5489" w:rsidRDefault="00CE5489">
      <w:pPr>
        <w:rPr>
          <w:rFonts w:ascii="Calibri" w:hAnsi="Calibri" w:cstheme="minorHAnsi"/>
        </w:rPr>
      </w:pPr>
      <w:r>
        <w:br w:type="page"/>
      </w:r>
    </w:p>
    <w:p w14:paraId="1DD9D62C" w14:textId="66DC73A8" w:rsidR="00C02B12" w:rsidRDefault="00C02B12" w:rsidP="00F53FCC">
      <w:pPr>
        <w:pStyle w:val="Heading2"/>
      </w:pPr>
      <w:bookmarkStart w:id="38" w:name="_Toc490482082"/>
      <w:bookmarkStart w:id="39" w:name="_Toc31377126"/>
      <w:r>
        <w:lastRenderedPageBreak/>
        <w:t>A</w:t>
      </w:r>
      <w:r w:rsidR="006711E1">
        <w:t>ppendix B</w:t>
      </w:r>
      <w:r w:rsidR="005235FE">
        <w:t>:</w:t>
      </w:r>
      <w:r w:rsidR="00080844">
        <w:t xml:space="preserve"> </w:t>
      </w:r>
      <w:r w:rsidR="0044650A">
        <w:t xml:space="preserve">Visualization Using </w:t>
      </w:r>
      <w:r>
        <w:t>Grafana®</w:t>
      </w:r>
      <w:bookmarkEnd w:id="38"/>
      <w:bookmarkEnd w:id="39"/>
      <w:r>
        <w:t xml:space="preserve"> </w:t>
      </w:r>
    </w:p>
    <w:p w14:paraId="661CE80C" w14:textId="15C09A71" w:rsidR="007B4EF4" w:rsidRDefault="008E0E53" w:rsidP="008E0E53">
      <w:pPr>
        <w:pStyle w:val="Body"/>
      </w:pPr>
      <w:bookmarkStart w:id="40" w:name="_Toc490482083"/>
      <w:r>
        <w:t>The Grafana platform</w:t>
      </w:r>
      <w:r w:rsidR="00D457E3">
        <w:t xml:space="preserve"> </w:t>
      </w:r>
      <w:r>
        <w:t xml:space="preserve">is proposed </w:t>
      </w:r>
      <w:r w:rsidR="00D457E3">
        <w:t xml:space="preserve">as </w:t>
      </w:r>
      <w:r w:rsidR="00DB6F64">
        <w:t>a</w:t>
      </w:r>
      <w:r w:rsidR="00C655F5">
        <w:t xml:space="preserve"> </w:t>
      </w:r>
      <w:r w:rsidR="00D457E3">
        <w:t xml:space="preserve">candidate </w:t>
      </w:r>
      <w:r w:rsidR="00F85842">
        <w:t xml:space="preserve">platform </w:t>
      </w:r>
      <w:r w:rsidR="0059192D">
        <w:t xml:space="preserve">to be among the </w:t>
      </w:r>
      <w:r w:rsidR="00DF66FE">
        <w:t xml:space="preserve">data visualization </w:t>
      </w:r>
      <w:r w:rsidR="00C655F5">
        <w:t>solution</w:t>
      </w:r>
      <w:r w:rsidR="00DF66FE">
        <w:t>s</w:t>
      </w:r>
      <w:r w:rsidR="00F85842">
        <w:t xml:space="preserve"> </w:t>
      </w:r>
      <w:r w:rsidR="00A22213">
        <w:t xml:space="preserve">that </w:t>
      </w:r>
      <w:r w:rsidR="00F85842">
        <w:t xml:space="preserve">support the Transmission Asset </w:t>
      </w:r>
      <w:r w:rsidR="00913CE6">
        <w:t>Performance C</w:t>
      </w:r>
      <w:r w:rsidR="00C9267A">
        <w:t>enter</w:t>
      </w:r>
      <w:r w:rsidR="00913CE6">
        <w:t>.</w:t>
      </w:r>
      <w:r w:rsidR="00F60BEF">
        <w:t xml:space="preserve">  </w:t>
      </w:r>
      <w:r w:rsidR="000F6BFD">
        <w:t xml:space="preserve">Grafana </w:t>
      </w:r>
      <w:r w:rsidR="00C9267A">
        <w:t xml:space="preserve">can </w:t>
      </w:r>
      <w:r w:rsidR="001A0D12">
        <w:t>be used fo</w:t>
      </w:r>
      <w:r w:rsidR="00BD5667">
        <w:t>r asset maintenance health trending</w:t>
      </w:r>
      <w:r w:rsidR="005F4505">
        <w:t xml:space="preserve"> and as a tool</w:t>
      </w:r>
      <w:r w:rsidR="001E30F9">
        <w:t xml:space="preserve"> </w:t>
      </w:r>
      <w:r w:rsidR="003362B5">
        <w:t>to monitor and alarm o</w:t>
      </w:r>
      <w:r w:rsidR="006D2C47">
        <w:t xml:space="preserve">n issues from source </w:t>
      </w:r>
      <w:r w:rsidR="004A2C02">
        <w:t>data systems</w:t>
      </w:r>
      <w:r w:rsidR="006D2C47">
        <w:t xml:space="preserve">. </w:t>
      </w:r>
      <w:r w:rsidR="005F4505">
        <w:t xml:space="preserve"> A GPA-provided </w:t>
      </w:r>
      <w:r w:rsidR="00ED694E">
        <w:t xml:space="preserve">dashboard for the TPS&amp;S Network Operations Center </w:t>
      </w:r>
      <w:r w:rsidR="00B66E41">
        <w:t xml:space="preserve">is in production use </w:t>
      </w:r>
      <w:r w:rsidR="0097254D">
        <w:t xml:space="preserve">by the NOC </w:t>
      </w:r>
      <w:r w:rsidR="00334C16">
        <w:t xml:space="preserve">monitoring real-time data streams from </w:t>
      </w:r>
      <w:r w:rsidR="00236A99">
        <w:t>synchrophasor</w:t>
      </w:r>
      <w:r w:rsidR="00334C16">
        <w:t xml:space="preserve"> measurement </w:t>
      </w:r>
      <w:r w:rsidR="00236A99">
        <w:t>devices in substations.</w:t>
      </w:r>
      <w:r w:rsidR="00B12DFB">
        <w:t xml:space="preserve">  It alarms on issues requiring NOC operator attention.</w:t>
      </w:r>
    </w:p>
    <w:p w14:paraId="472D16AD" w14:textId="3150A9B4" w:rsidR="008E0E53" w:rsidRDefault="008E0E53" w:rsidP="008E0E53">
      <w:pPr>
        <w:pStyle w:val="Body"/>
      </w:pPr>
      <w:r>
        <w:t xml:space="preserve">Grafana is a fast, highly scalable, open source solution for time-series data visualization, monitoring and end user data analysis. The system is designed around a well-defined, simple to use interface based on simple metrics to make sense of massive amounts of data. Over the past few years, Grafana has become the de facto, go to software used by enterprises for time series analytics. </w:t>
      </w:r>
    </w:p>
    <w:p w14:paraId="27CBB2DB" w14:textId="1AAE683B" w:rsidR="008E0E53" w:rsidRDefault="008E0E53" w:rsidP="008E0E53">
      <w:pPr>
        <w:pStyle w:val="Body"/>
      </w:pPr>
      <w:r w:rsidRPr="008637CB">
        <w:t xml:space="preserve">Grafana can visualize, explore and alert on data from many different databases and cloud services. Each database or service type is accessed from a </w:t>
      </w:r>
      <w:r w:rsidRPr="00CC03DC">
        <w:rPr>
          <w:i/>
          <w:iCs/>
        </w:rPr>
        <w:t>data source</w:t>
      </w:r>
      <w:r w:rsidRPr="008637CB">
        <w:t>.</w:t>
      </w:r>
      <w:r>
        <w:t xml:space="preserve"> Grafana connects with a </w:t>
      </w:r>
      <w:r w:rsidR="000410DE">
        <w:t>large</w:t>
      </w:r>
      <w:r>
        <w:t xml:space="preserve"> set of data sources such as Azure, Graphite, Prometheus, </w:t>
      </w:r>
      <w:proofErr w:type="spellStart"/>
      <w:r>
        <w:t>InfluxDB</w:t>
      </w:r>
      <w:proofErr w:type="spellEnd"/>
      <w:r>
        <w:t xml:space="preserve">, </w:t>
      </w:r>
      <w:proofErr w:type="spellStart"/>
      <w:r>
        <w:t>ElasticSearch</w:t>
      </w:r>
      <w:proofErr w:type="spellEnd"/>
      <w:r>
        <w:t>, SQL Server, MySQL, PostgreSQL, etc. Data sources also include those that are built by the community.</w:t>
      </w:r>
    </w:p>
    <w:p w14:paraId="4C994463" w14:textId="77777777" w:rsidR="008E0E53" w:rsidRDefault="008E0E53" w:rsidP="008E0E53">
      <w:pPr>
        <w:pStyle w:val="Body"/>
      </w:pPr>
      <w:r>
        <w:t xml:space="preserve">With </w:t>
      </w:r>
      <w:r w:rsidRPr="008C46A8">
        <w:t xml:space="preserve">Grafana, </w:t>
      </w:r>
      <w:r>
        <w:t xml:space="preserve">custom </w:t>
      </w:r>
      <w:r w:rsidRPr="008C46A8">
        <w:t xml:space="preserve">dashboards </w:t>
      </w:r>
      <w:r>
        <w:t>are created using widgets</w:t>
      </w:r>
      <w:r w:rsidRPr="008C46A8">
        <w:t xml:space="preserve"> </w:t>
      </w:r>
      <w:r>
        <w:t xml:space="preserve">called </w:t>
      </w:r>
      <w:r w:rsidRPr="008D7CB2">
        <w:rPr>
          <w:i/>
          <w:iCs/>
        </w:rPr>
        <w:t>panels</w:t>
      </w:r>
      <w:r>
        <w:t xml:space="preserve"> used to display </w:t>
      </w:r>
      <w:r w:rsidRPr="008C46A8">
        <w:t xml:space="preserve">specific metrics over a set timeframe. </w:t>
      </w:r>
      <w:r w:rsidRPr="00160BDB">
        <w:t xml:space="preserve">The </w:t>
      </w:r>
      <w:r>
        <w:t xml:space="preserve">Grafana </w:t>
      </w:r>
      <w:r w:rsidRPr="00160BDB">
        <w:t>dashboard</w:t>
      </w:r>
      <w:r>
        <w:t>, constructed with a set of arrangeable panels,</w:t>
      </w:r>
      <w:r w:rsidRPr="00160BDB">
        <w:t xml:space="preserve"> is where </w:t>
      </w:r>
      <w:r>
        <w:t xml:space="preserve">the system brings everything </w:t>
      </w:r>
      <w:r w:rsidRPr="00160BDB">
        <w:t>together.</w:t>
      </w:r>
      <w:r>
        <w:t xml:space="preserve"> Panels included with Grafana by default include a </w:t>
      </w:r>
      <w:r w:rsidRPr="008C46A8">
        <w:t>graph, single</w:t>
      </w:r>
      <w:r>
        <w:t xml:space="preserve"> </w:t>
      </w:r>
      <w:r w:rsidRPr="008C46A8">
        <w:t>stat</w:t>
      </w:r>
      <w:r>
        <w:t>istic</w:t>
      </w:r>
      <w:r w:rsidRPr="008C46A8">
        <w:t>, table, heatmap and free</w:t>
      </w:r>
      <w:r>
        <w:t>-</w:t>
      </w:r>
      <w:r w:rsidRPr="008C46A8">
        <w:t>text panels</w:t>
      </w:r>
      <w:r>
        <w:t xml:space="preserve">, each highly customizable. The available panels also include an extensive set of </w:t>
      </w:r>
      <w:r w:rsidRPr="008C46A8">
        <w:t>community-built plugins</w:t>
      </w:r>
      <w:r>
        <w:t xml:space="preserve"> used to graphically display data in any conceivable fashion.</w:t>
      </w:r>
      <w:r w:rsidRPr="007C1F3B">
        <w:t xml:space="preserve"> </w:t>
      </w:r>
    </w:p>
    <w:p w14:paraId="2EE17916" w14:textId="77777777" w:rsidR="008E0E53" w:rsidRDefault="008E0E53" w:rsidP="00C666EF">
      <w:pPr>
        <w:pStyle w:val="figure"/>
      </w:pPr>
      <w:r>
        <w:drawing>
          <wp:inline distT="0" distB="0" distL="0" distR="0" wp14:anchorId="2F9F3748" wp14:editId="0A188214">
            <wp:extent cx="5095875" cy="3113982"/>
            <wp:effectExtent l="0" t="0" r="0" b="0"/>
            <wp:docPr id="14" name="Picture 14" descr="C:\Users\rrobertson\AppData\Local\Microsoft\Windows\INetCache\Content.Word\Features (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obertson\AppData\Local\Microsoft\Windows\INetCache\Content.Word\Features (framed).pn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124890" cy="3131712"/>
                    </a:xfrm>
                    <a:prstGeom prst="rect">
                      <a:avLst/>
                    </a:prstGeom>
                    <a:noFill/>
                    <a:ln>
                      <a:noFill/>
                    </a:ln>
                  </pic:spPr>
                </pic:pic>
              </a:graphicData>
            </a:graphic>
          </wp:inline>
        </w:drawing>
      </w:r>
    </w:p>
    <w:p w14:paraId="5BEDC9CA" w14:textId="77777777" w:rsidR="004507AD" w:rsidRDefault="004507AD">
      <w:pPr>
        <w:rPr>
          <w:rFonts w:ascii="Calibri" w:hAnsi="Calibri" w:cstheme="minorHAnsi"/>
        </w:rPr>
      </w:pPr>
      <w:r>
        <w:br w:type="page"/>
      </w:r>
    </w:p>
    <w:p w14:paraId="1AEF02C8" w14:textId="32FE2C14" w:rsidR="008E0E53" w:rsidRDefault="008E0E53" w:rsidP="008E0E53">
      <w:pPr>
        <w:pStyle w:val="Body"/>
      </w:pPr>
      <w:r>
        <w:lastRenderedPageBreak/>
        <w:t>GPA has developed custom Grafana data sources for the openHistorian and OSI-PI that are officially published on the Grafana plugin repository. These data sources use advanced Grafana APIs for deep and rich integration with shared GPA framework interfaces, including alarming and security. Using these APIs, the openHistorian comes preinstalled with an instance of Grafana that is tightly integrated with openHistorian managed security and the Grafana instance being exposed through the self-hosted web interface.</w:t>
      </w:r>
    </w:p>
    <w:p w14:paraId="5E4A7890" w14:textId="2FE162F2" w:rsidR="008E0E53" w:rsidRDefault="008E0E53" w:rsidP="008E0E53">
      <w:pPr>
        <w:pStyle w:val="Body"/>
      </w:pPr>
      <w:r>
        <w:t>In addition to custom data sources, GPA has developed several Grafana panel plugins to support monitoring of production systems using GPA software, including geographical device maps, phasor clock charts and custom alarm panels.</w:t>
      </w:r>
    </w:p>
    <w:p w14:paraId="6A001835" w14:textId="196A1DDD" w:rsidR="008E0E53" w:rsidRDefault="008E0E53" w:rsidP="00C666EF">
      <w:pPr>
        <w:pStyle w:val="figure"/>
      </w:pPr>
      <w:r w:rsidRPr="00D4305E">
        <w:drawing>
          <wp:inline distT="0" distB="0" distL="0" distR="0" wp14:anchorId="6942E03A" wp14:editId="45A0FC4B">
            <wp:extent cx="3257550" cy="1947642"/>
            <wp:effectExtent l="38100" t="38100" r="95250" b="90805"/>
            <wp:docPr id="19" name="Picture 2">
              <a:extLst xmlns:a="http://schemas.openxmlformats.org/drawingml/2006/main">
                <a:ext uri="{FF2B5EF4-FFF2-40B4-BE49-F238E27FC236}">
                  <a16:creationId xmlns:a16="http://schemas.microsoft.com/office/drawing/2014/main" id="{9DC9D8DE-1210-4543-A179-BA05CB7CD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C9D8DE-1210-4543-A179-BA05CB7CDFC6}"/>
                        </a:ext>
                      </a:extLst>
                    </pic:cNvPr>
                    <pic:cNvPicPr>
                      <a:picLocks noChangeAspect="1"/>
                    </pic:cNvPicPr>
                  </pic:nvPicPr>
                  <pic:blipFill rotWithShape="1">
                    <a:blip r:embed="rId49">
                      <a:extLst>
                        <a:ext uri="{BEBA8EAE-BF5A-486C-A8C5-ECC9F3942E4B}">
                          <a14:imgProps xmlns:a14="http://schemas.microsoft.com/office/drawing/2010/main">
                            <a14:imgLayer r:embed="rId50">
                              <a14:imgEffect>
                                <a14:saturation sat="200000"/>
                              </a14:imgEffect>
                            </a14:imgLayer>
                          </a14:imgProps>
                        </a:ext>
                      </a:extLst>
                    </a:blip>
                    <a:srcRect t="8813"/>
                    <a:stretch/>
                  </pic:blipFill>
                  <pic:spPr bwMode="auto">
                    <a:xfrm>
                      <a:off x="0" y="0"/>
                      <a:ext cx="3288830" cy="19663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t xml:space="preserve">  </w:t>
      </w:r>
      <w:r w:rsidRPr="007F788D">
        <w:drawing>
          <wp:inline distT="0" distB="0" distL="0" distR="0" wp14:anchorId="4BFBA050" wp14:editId="0F41F974">
            <wp:extent cx="1826643" cy="1971675"/>
            <wp:effectExtent l="38100" t="38100" r="97790" b="857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aturation sat="200000"/>
                              </a14:imgEffect>
                            </a14:imgLayer>
                          </a14:imgProps>
                        </a:ext>
                      </a:extLst>
                    </a:blip>
                    <a:stretch>
                      <a:fillRect/>
                    </a:stretch>
                  </pic:blipFill>
                  <pic:spPr>
                    <a:xfrm>
                      <a:off x="0" y="0"/>
                      <a:ext cx="1863782" cy="2011763"/>
                    </a:xfrm>
                    <a:prstGeom prst="rect">
                      <a:avLst/>
                    </a:prstGeom>
                    <a:effectLst>
                      <a:outerShdw blurRad="50800" dist="38100" dir="2700000" algn="tl" rotWithShape="0">
                        <a:prstClr val="black">
                          <a:alpha val="40000"/>
                        </a:prstClr>
                      </a:outerShdw>
                    </a:effectLst>
                  </pic:spPr>
                </pic:pic>
              </a:graphicData>
            </a:graphic>
          </wp:inline>
        </w:drawing>
      </w:r>
    </w:p>
    <w:p w14:paraId="170859B7" w14:textId="57F2B3EC" w:rsidR="00C666EF" w:rsidRDefault="00C666EF" w:rsidP="00C666EF">
      <w:pPr>
        <w:pStyle w:val="FigureDesc"/>
      </w:pPr>
      <w:r>
        <w:t>Examples of Gra</w:t>
      </w:r>
      <w:r w:rsidR="001424F9">
        <w:t>fana Dashboards</w:t>
      </w:r>
      <w:r w:rsidR="00DB299D">
        <w:t xml:space="preserve"> in Use with Synchrophasor data</w:t>
      </w:r>
      <w:r w:rsidR="00D965D8">
        <w:br/>
      </w:r>
    </w:p>
    <w:p w14:paraId="20AD98AD" w14:textId="38D88C19" w:rsidR="008E0E53" w:rsidRDefault="008E0E53" w:rsidP="008E0E53">
      <w:pPr>
        <w:pStyle w:val="Body"/>
      </w:pPr>
      <w:r>
        <w:t xml:space="preserve">The value of Grafana comes </w:t>
      </w:r>
      <w:r w:rsidR="00A14A48">
        <w:t xml:space="preserve">in </w:t>
      </w:r>
      <w:r w:rsidR="001F534E">
        <w:t>its ability to combine data from</w:t>
      </w:r>
      <w:r>
        <w:t xml:space="preserve"> disparate data sources with highly discernable, easy to comprehend visualizations providing </w:t>
      </w:r>
      <w:r w:rsidR="008C78E5">
        <w:t>historical,</w:t>
      </w:r>
      <w:r>
        <w:t xml:space="preserve"> current-moment and prescient business intelligence. Dashboards are easy to develop, even by non-IT users. Existing dashboards can be customized for a specific user, setup as templates, implemented with annotations for event and alarm correlation, and be easily shared between users.</w:t>
      </w:r>
    </w:p>
    <w:p w14:paraId="3EC6DC25" w14:textId="7435F407" w:rsidR="008E0E53" w:rsidRDefault="008E0E53" w:rsidP="008E0E53">
      <w:pPr>
        <w:pStyle w:val="Body"/>
      </w:pPr>
      <w:r>
        <w:t>Grafana is being rapidly extended by the community at large through the development of data source and panel plugins. Additionally, the community posts custom dashboards that can be used as a starting point for new dashboards. Grafana is also free and open source, so installation requires no license fees –</w:t>
      </w:r>
      <w:r w:rsidR="00F9664A">
        <w:t xml:space="preserve"> </w:t>
      </w:r>
      <w:r>
        <w:t>it is a low-cost solution.</w:t>
      </w:r>
    </w:p>
    <w:p w14:paraId="6DF8533A" w14:textId="77777777" w:rsidR="008E0E53" w:rsidRDefault="008E0E53" w:rsidP="008E0E53">
      <w:pPr>
        <w:pStyle w:val="Body"/>
      </w:pPr>
      <w:r>
        <w:t>With most work offloaded to querying of remote data sources, Grafana itself has minimal hardware impact, as such, a single Grafana instance will scale to an extremely high number of displays. Even so, being a web-based application means that Grafana can be easily deployed across a load-balanced cluster to scale up to most any sized deployment, including Internet scale.</w:t>
      </w:r>
    </w:p>
    <w:p w14:paraId="6A9DC577" w14:textId="749DAAA3" w:rsidR="008E0E53" w:rsidRDefault="008E0E53" w:rsidP="008E0E53">
      <w:pPr>
        <w:pStyle w:val="Body"/>
      </w:pPr>
      <w:r>
        <w:t xml:space="preserve">GPA believes that Grafana </w:t>
      </w:r>
      <w:r w:rsidR="000D7D1A">
        <w:t>is a</w:t>
      </w:r>
      <w:r w:rsidR="004014FA">
        <w:t>n</w:t>
      </w:r>
      <w:r w:rsidR="000D7D1A">
        <w:t xml:space="preserve"> </w:t>
      </w:r>
      <w:r w:rsidR="00090554">
        <w:t xml:space="preserve">excellent </w:t>
      </w:r>
      <w:r w:rsidR="000D7D1A">
        <w:t>candidate</w:t>
      </w:r>
      <w:r>
        <w:t xml:space="preserve"> tool for aggregation of asset, maintenance and condition-based data visualizations </w:t>
      </w:r>
      <w:r w:rsidR="00090554">
        <w:t xml:space="preserve">as well as a platform </w:t>
      </w:r>
      <w:r>
        <w:t xml:space="preserve">to assist </w:t>
      </w:r>
      <w:r w:rsidR="00090554">
        <w:t xml:space="preserve">with monitoring of information flows </w:t>
      </w:r>
      <w:r w:rsidR="004E7EA4">
        <w:t xml:space="preserve">and </w:t>
      </w:r>
      <w:r>
        <w:t>maintenance actions</w:t>
      </w:r>
      <w:r w:rsidR="00F374E8">
        <w:t>.</w:t>
      </w:r>
    </w:p>
    <w:p w14:paraId="33432737" w14:textId="51D9E269" w:rsidR="006A4D73" w:rsidRDefault="006A4D73" w:rsidP="008E0E53">
      <w:pPr>
        <w:pStyle w:val="Body"/>
      </w:pPr>
      <w:r>
        <w:t xml:space="preserve">For more information on Grafana, See </w:t>
      </w:r>
      <w:hyperlink r:id="rId53" w:history="1">
        <w:r w:rsidRPr="00A3069F">
          <w:rPr>
            <w:rStyle w:val="Hyperlink"/>
          </w:rPr>
          <w:t>https://grafana.com</w:t>
        </w:r>
      </w:hyperlink>
      <w:r>
        <w:t xml:space="preserve"> </w:t>
      </w:r>
    </w:p>
    <w:p w14:paraId="41AD4790" w14:textId="6FE32D14" w:rsidR="008E0E53" w:rsidRDefault="008E0E53">
      <w:pPr>
        <w:rPr>
          <w:rFonts w:ascii="Calibri" w:hAnsi="Calibri" w:cstheme="minorHAnsi"/>
        </w:rPr>
      </w:pPr>
      <w:r>
        <w:br w:type="page"/>
      </w:r>
    </w:p>
    <w:p w14:paraId="22B22266" w14:textId="50EC7A97" w:rsidR="00C02B12" w:rsidRPr="00634ABB" w:rsidRDefault="00F53FCC" w:rsidP="00F53FCC">
      <w:pPr>
        <w:pStyle w:val="Heading2"/>
      </w:pPr>
      <w:bookmarkStart w:id="41" w:name="_Toc31377127"/>
      <w:r>
        <w:lastRenderedPageBreak/>
        <w:t>A</w:t>
      </w:r>
      <w:r w:rsidR="006711E1">
        <w:t xml:space="preserve">ppendix </w:t>
      </w:r>
      <w:bookmarkEnd w:id="40"/>
      <w:r w:rsidR="00080844">
        <w:t xml:space="preserve">C: </w:t>
      </w:r>
      <w:r w:rsidR="008735F2">
        <w:t>Alarming</w:t>
      </w:r>
      <w:r w:rsidR="00560A47">
        <w:t xml:space="preserve"> and Automated Notifications</w:t>
      </w:r>
      <w:bookmarkEnd w:id="41"/>
    </w:p>
    <w:p w14:paraId="7CDE1E6A" w14:textId="5FA82F6A" w:rsidR="0057590C" w:rsidRDefault="0057590C" w:rsidP="0057590C">
      <w:pPr>
        <w:pStyle w:val="Body"/>
      </w:pPr>
      <w:bookmarkStart w:id="42" w:name="_Toc490482084"/>
      <w:r w:rsidRPr="000E4780">
        <w:t>A full-featured alarming en</w:t>
      </w:r>
      <w:r>
        <w:t xml:space="preserve">gine is included within the GPA code base, and it is part of many GPA applications, such as the openHistorian. </w:t>
      </w:r>
      <w:r w:rsidRPr="000E4780">
        <w:t xml:space="preserve"> </w:t>
      </w:r>
      <w:r>
        <w:t xml:space="preserve">Importantly for this RFP, the alarms that can be created using the GPA alarming engine can be sophisticated. This sophistication is necessary to avoid alarm flooding, chatter and persistent false alarms. </w:t>
      </w:r>
    </w:p>
    <w:p w14:paraId="7041D033" w14:textId="20F92A95" w:rsidR="0057590C" w:rsidRDefault="0057590C" w:rsidP="0057590C">
      <w:pPr>
        <w:pStyle w:val="Body"/>
      </w:pPr>
      <w:r>
        <w:t>Using the GPA tools, a</w:t>
      </w:r>
      <w:r w:rsidRPr="000E4780">
        <w:t>larms can be created based on non-symmetric limits</w:t>
      </w:r>
      <w:r>
        <w:t>, a timer can be used to delay raising an alarm</w:t>
      </w:r>
      <w:r w:rsidR="001A69B5">
        <w:t xml:space="preserve">, </w:t>
      </w:r>
      <w:r w:rsidRPr="000E4780">
        <w:t xml:space="preserve">and hysteresis </w:t>
      </w:r>
      <w:r>
        <w:t xml:space="preserve">can be applied to postpone alarm clearing as seen in the figure below.  </w:t>
      </w:r>
      <w:r w:rsidRPr="000E4780">
        <w:t xml:space="preserve">Alarms can be set to trigger based on </w:t>
      </w:r>
      <w:r>
        <w:t xml:space="preserve">measured data or calculated values.  Alarms can also be raised based on a threshold of comparison to other measured values.  Any number of set points can be established for a value.  In many cases, six set points are needed:  unreasonable data high, alarm high, warning high, warning low, alarm low, unreasonable data low. </w:t>
      </w:r>
    </w:p>
    <w:p w14:paraId="27DD32EF" w14:textId="77777777" w:rsidR="0057590C" w:rsidRDefault="0057590C" w:rsidP="0057590C">
      <w:pPr>
        <w:pStyle w:val="figure"/>
        <w:rPr>
          <w:iCs/>
        </w:rPr>
      </w:pPr>
      <w:r>
        <w:drawing>
          <wp:inline distT="0" distB="0" distL="0" distR="0" wp14:anchorId="60DB6660" wp14:editId="5BF35DBF">
            <wp:extent cx="4800600" cy="184189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4231" cy="1847127"/>
                    </a:xfrm>
                    <a:prstGeom prst="rect">
                      <a:avLst/>
                    </a:prstGeom>
                    <a:noFill/>
                    <a:ln>
                      <a:noFill/>
                    </a:ln>
                  </pic:spPr>
                </pic:pic>
              </a:graphicData>
            </a:graphic>
          </wp:inline>
        </w:drawing>
      </w:r>
    </w:p>
    <w:p w14:paraId="6BF7BEC8" w14:textId="5B3D466E" w:rsidR="0057590C" w:rsidRDefault="0057590C" w:rsidP="0057590C">
      <w:pPr>
        <w:pStyle w:val="FigureDesc"/>
      </w:pPr>
      <w:r>
        <w:t xml:space="preserve">GPA’s Alarming Engine Includes Ability to Set Delays and </w:t>
      </w:r>
      <w:r w:rsidR="001A69B5">
        <w:t>I</w:t>
      </w:r>
      <w:r>
        <w:t>ncorporate Hysteresis</w:t>
      </w:r>
    </w:p>
    <w:p w14:paraId="1A5EF532" w14:textId="77777777" w:rsidR="0057590C" w:rsidRDefault="0057590C" w:rsidP="0057590C">
      <w:pPr>
        <w:pStyle w:val="Heading4"/>
      </w:pPr>
      <w:r>
        <w:t>Off-Normal Alarming</w:t>
      </w:r>
    </w:p>
    <w:p w14:paraId="47F1406D" w14:textId="5911E824" w:rsidR="0057590C" w:rsidRDefault="0057590C" w:rsidP="0057590C">
      <w:pPr>
        <w:pStyle w:val="Body"/>
        <w:rPr>
          <w:iCs/>
        </w:rPr>
      </w:pPr>
      <w:r>
        <w:rPr>
          <w:iCs/>
        </w:rPr>
        <w:t xml:space="preserve">Off-normal alarming can be </w:t>
      </w:r>
      <w:r w:rsidR="00606681">
        <w:rPr>
          <w:iCs/>
        </w:rPr>
        <w:t>especially useful</w:t>
      </w:r>
      <w:r>
        <w:rPr>
          <w:iCs/>
        </w:rPr>
        <w:t xml:space="preserve"> in detecting that “something has changed” even though the data is well within acceptable operating limits.</w:t>
      </w:r>
    </w:p>
    <w:p w14:paraId="0D417775" w14:textId="2E9C9BA0" w:rsidR="0057590C" w:rsidRDefault="0057590C" w:rsidP="0057590C">
      <w:pPr>
        <w:pStyle w:val="Body"/>
        <w:rPr>
          <w:iCs/>
        </w:rPr>
      </w:pPr>
      <w:r>
        <w:rPr>
          <w:iCs/>
        </w:rPr>
        <w:t xml:space="preserve">GPA has delivered systems where either automatically (e.g., once per month) or based on ad-hoc manual changes, custom alarm triggers are set as a function of a deviation from that which is considered to be normal for </w:t>
      </w:r>
      <w:r w:rsidR="00606A0D">
        <w:rPr>
          <w:iCs/>
        </w:rPr>
        <w:t>a</w:t>
      </w:r>
      <w:r>
        <w:rPr>
          <w:iCs/>
        </w:rPr>
        <w:t xml:space="preserve"> measurement. (Hence “off-normal” rather </w:t>
      </w:r>
      <w:r w:rsidR="00606681">
        <w:rPr>
          <w:iCs/>
        </w:rPr>
        <w:t>than</w:t>
      </w:r>
      <w:r>
        <w:rPr>
          <w:iCs/>
        </w:rPr>
        <w:t xml:space="preserve"> “abnormal.”)  Off-normal alarms can be statistically based from historical data or can be based on insights provided by subject matter experts.</w:t>
      </w:r>
    </w:p>
    <w:p w14:paraId="23907F86" w14:textId="6CF2D656" w:rsidR="0057590C" w:rsidRDefault="0057590C" w:rsidP="0057590C">
      <w:pPr>
        <w:pStyle w:val="Body"/>
        <w:rPr>
          <w:iCs/>
        </w:rPr>
      </w:pPr>
      <w:r>
        <w:rPr>
          <w:iCs/>
        </w:rPr>
        <w:t>For power quality trend data alarming, GPA has implemented statistically based alarms that are a function of hour-of-the-week, with alarm</w:t>
      </w:r>
      <w:r w:rsidR="00E52A5C">
        <w:rPr>
          <w:iCs/>
        </w:rPr>
        <w:t>s</w:t>
      </w:r>
      <w:r>
        <w:rPr>
          <w:iCs/>
        </w:rPr>
        <w:t xml:space="preserve"> that</w:t>
      </w:r>
      <w:r w:rsidR="00E52A5C">
        <w:rPr>
          <w:iCs/>
        </w:rPr>
        <w:t xml:space="preserve"> are</w:t>
      </w:r>
      <w:r>
        <w:rPr>
          <w:iCs/>
        </w:rPr>
        <w:t xml:space="preserve"> automatically determined based on a four standard-deviation band from what’s expected for a particular hour, e.g.,  8 AM on a Monday, for a particular metering location</w:t>
      </w:r>
      <w:r w:rsidR="001A69B5">
        <w:rPr>
          <w:iCs/>
        </w:rPr>
        <w:t>.</w:t>
      </w:r>
    </w:p>
    <w:p w14:paraId="7978FE1C" w14:textId="330B07ED" w:rsidR="0057590C" w:rsidRDefault="0057590C" w:rsidP="0057590C">
      <w:pPr>
        <w:pStyle w:val="Body"/>
        <w:rPr>
          <w:iCs/>
        </w:rPr>
      </w:pPr>
      <w:r>
        <w:rPr>
          <w:iCs/>
        </w:rPr>
        <w:t xml:space="preserve">Off-normal alarming can become quite sophisticated and GPA’s alarming engine can handle many of these approaches.  However, </w:t>
      </w:r>
      <w:r w:rsidR="007502E2">
        <w:rPr>
          <w:iCs/>
        </w:rPr>
        <w:t>unique</w:t>
      </w:r>
      <w:r w:rsidR="002C6258">
        <w:rPr>
          <w:iCs/>
        </w:rPr>
        <w:t xml:space="preserve"> cases</w:t>
      </w:r>
      <w:r>
        <w:rPr>
          <w:iCs/>
        </w:rPr>
        <w:t xml:space="preserve"> such as the hour-of-the-week alarm </w:t>
      </w:r>
      <w:r w:rsidR="00EA43D2">
        <w:rPr>
          <w:iCs/>
        </w:rPr>
        <w:t xml:space="preserve">mentioned </w:t>
      </w:r>
      <w:r>
        <w:rPr>
          <w:iCs/>
        </w:rPr>
        <w:t>above which has 168 high and low set points for each measurement requires code-based implementation.</w:t>
      </w:r>
    </w:p>
    <w:p w14:paraId="31B96E7C" w14:textId="77777777" w:rsidR="0057590C" w:rsidRDefault="0057590C" w:rsidP="0057590C">
      <w:pPr>
        <w:rPr>
          <w:rFonts w:ascii="Calibri" w:hAnsi="Calibri" w:cstheme="minorHAnsi"/>
          <w:iCs/>
        </w:rPr>
      </w:pPr>
      <w:r>
        <w:rPr>
          <w:iCs/>
        </w:rPr>
        <w:br w:type="page"/>
      </w:r>
    </w:p>
    <w:p w14:paraId="31D05DB2" w14:textId="77777777" w:rsidR="0057590C" w:rsidRDefault="0057590C" w:rsidP="0057590C">
      <w:pPr>
        <w:pStyle w:val="Heading4"/>
      </w:pPr>
      <w:r>
        <w:lastRenderedPageBreak/>
        <w:t xml:space="preserve">Alarm Integration </w:t>
      </w:r>
    </w:p>
    <w:p w14:paraId="26E4A49A" w14:textId="3EF3B456" w:rsidR="0057590C" w:rsidRDefault="00D83BE4" w:rsidP="0057590C">
      <w:pPr>
        <w:pStyle w:val="Body"/>
      </w:pPr>
      <w:r>
        <w:t>It is o</w:t>
      </w:r>
      <w:r w:rsidR="0057590C">
        <w:t xml:space="preserve">ften necessary for multiple systems </w:t>
      </w:r>
      <w:r w:rsidR="00E31BFB">
        <w:t>to</w:t>
      </w:r>
      <w:r w:rsidR="0057590C">
        <w:t xml:space="preserve"> be </w:t>
      </w:r>
      <w:r w:rsidR="009C64E6">
        <w:t>aware</w:t>
      </w:r>
      <w:r w:rsidR="0057590C">
        <w:t xml:space="preserve"> of </w:t>
      </w:r>
      <w:r w:rsidR="00143856">
        <w:t xml:space="preserve">both a </w:t>
      </w:r>
      <w:r w:rsidR="004666CD">
        <w:t>measurement</w:t>
      </w:r>
      <w:r w:rsidR="0057590C">
        <w:t xml:space="preserve"> value</w:t>
      </w:r>
      <w:r w:rsidR="004666CD">
        <w:t xml:space="preserve"> as well as</w:t>
      </w:r>
      <w:r w:rsidR="0057590C">
        <w:t xml:space="preserve"> the setting</w:t>
      </w:r>
      <w:r w:rsidR="00C92A02">
        <w:t>s</w:t>
      </w:r>
      <w:r w:rsidR="0057590C">
        <w:t xml:space="preserve"> </w:t>
      </w:r>
      <w:r w:rsidR="00C92A02">
        <w:t xml:space="preserve">associated with </w:t>
      </w:r>
      <w:r w:rsidR="00107EC2">
        <w:t>its alarm values</w:t>
      </w:r>
      <w:r w:rsidR="0057590C">
        <w:t xml:space="preserve">.  </w:t>
      </w:r>
      <w:r w:rsidR="00130A82">
        <w:t xml:space="preserve">The GPA alarming engine exposes all alarm values, and associated alarm settings, through </w:t>
      </w:r>
      <w:r w:rsidR="001D138C">
        <w:t>web-based</w:t>
      </w:r>
      <w:r w:rsidR="00130A82">
        <w:t xml:space="preserve"> APIs for external systems in</w:t>
      </w:r>
      <w:r w:rsidR="001D138C">
        <w:t>tegration.</w:t>
      </w:r>
    </w:p>
    <w:p w14:paraId="63A4C133" w14:textId="46CA49A3" w:rsidR="001D138C" w:rsidRDefault="001D138C" w:rsidP="0057590C">
      <w:pPr>
        <w:pStyle w:val="Body"/>
      </w:pPr>
      <w:r>
        <w:t>When used in conjunction with a system that supp</w:t>
      </w:r>
      <w:r w:rsidR="007E7A62">
        <w:t xml:space="preserve">orts time series functionality, alarms can also be exposed as time series values that </w:t>
      </w:r>
      <w:r w:rsidR="00E24858">
        <w:t xml:space="preserve">can be consumed by a real-time system, e.g., over the </w:t>
      </w:r>
      <w:r w:rsidR="00DF4A4F">
        <w:t xml:space="preserve">IEEE 2664 </w:t>
      </w:r>
      <w:r w:rsidR="00E24858">
        <w:t>Streaming Telemetry Transport Protocol (STTP)</w:t>
      </w:r>
      <w:r w:rsidR="00F95BA1">
        <w:t xml:space="preserve">, for instantaneous </w:t>
      </w:r>
      <w:r w:rsidR="008D0747">
        <w:t>alarm event responses</w:t>
      </w:r>
      <w:r w:rsidR="00E24858">
        <w:t>.</w:t>
      </w:r>
    </w:p>
    <w:p w14:paraId="2C8B7892" w14:textId="77777777" w:rsidR="0057590C" w:rsidRDefault="0057590C" w:rsidP="0057590C">
      <w:pPr>
        <w:pStyle w:val="Heading4"/>
      </w:pPr>
      <w:r>
        <w:t>Automated Notifications</w:t>
      </w:r>
    </w:p>
    <w:p w14:paraId="7D9D3D98" w14:textId="06AEA17C" w:rsidR="0057590C" w:rsidRDefault="0057590C" w:rsidP="0057590C">
      <w:pPr>
        <w:pStyle w:val="Body"/>
      </w:pPr>
      <w:r>
        <w:t>Several GPA products include the ability to send automated emails based on an alarm being raised.  These emails are highly customizable and are based on a</w:t>
      </w:r>
      <w:r w:rsidR="007E5D6C">
        <w:t>n</w:t>
      </w:r>
      <w:r>
        <w:t xml:space="preserve"> </w:t>
      </w:r>
      <w:r w:rsidR="007E5D6C">
        <w:t xml:space="preserve">XML </w:t>
      </w:r>
      <w:r>
        <w:t>template</w:t>
      </w:r>
      <w:r w:rsidR="00F44F33">
        <w:t xml:space="preserve"> that can be easily modified by </w:t>
      </w:r>
      <w:r w:rsidR="00D630ED">
        <w:t>the user</w:t>
      </w:r>
      <w:r>
        <w:t>.   A sample template is provided below:</w:t>
      </w:r>
    </w:p>
    <w:p w14:paraId="7475C7C5" w14:textId="77777777" w:rsidR="00C16615" w:rsidRDefault="00C16615" w:rsidP="0057590C">
      <w:pPr>
        <w:pStyle w:val="Body"/>
      </w:pPr>
    </w:p>
    <w:p w14:paraId="1450F824" w14:textId="77777777" w:rsidR="0057590C" w:rsidRDefault="0057590C" w:rsidP="00C16615">
      <w:pPr>
        <w:pStyle w:val="figure"/>
      </w:pPr>
      <w:r>
        <w:drawing>
          <wp:inline distT="0" distB="0" distL="0" distR="0" wp14:anchorId="22603F4E" wp14:editId="616961C9">
            <wp:extent cx="5067300" cy="4438698"/>
            <wp:effectExtent l="38100" t="38100" r="95250" b="952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fault E-mail Configuration Template.jpg"/>
                    <pic:cNvPicPr/>
                  </pic:nvPicPr>
                  <pic:blipFill rotWithShape="1">
                    <a:blip r:embed="rId55">
                      <a:extLst>
                        <a:ext uri="{BEBA8EAE-BF5A-486C-A8C5-ECC9F3942E4B}">
                          <a14:imgProps xmlns:a14="http://schemas.microsoft.com/office/drawing/2010/main">
                            <a14:imgLayer r:embed="rId56">
                              <a14:imgEffect>
                                <a14:colorTemperature colorTemp="7200"/>
                              </a14:imgEffect>
                            </a14:imgLayer>
                          </a14:imgProps>
                        </a:ext>
                        <a:ext uri="{28A0092B-C50C-407E-A947-70E740481C1C}">
                          <a14:useLocalDpi xmlns:a14="http://schemas.microsoft.com/office/drawing/2010/main" val="0"/>
                        </a:ext>
                      </a:extLst>
                    </a:blip>
                    <a:srcRect l="9028" r="8681"/>
                    <a:stretch/>
                  </pic:blipFill>
                  <pic:spPr bwMode="auto">
                    <a:xfrm>
                      <a:off x="0" y="0"/>
                      <a:ext cx="5073047" cy="444373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4C43BD" w14:textId="77777777" w:rsidR="0057590C" w:rsidRDefault="0057590C" w:rsidP="0057590C">
      <w:pPr>
        <w:pStyle w:val="FigureDesc"/>
      </w:pPr>
      <w:r>
        <w:t>GPA’s XSL Transform Editor for Creating E-Mail Templates</w:t>
      </w:r>
    </w:p>
    <w:p w14:paraId="65CF6826" w14:textId="5B54A275" w:rsidR="0057590C" w:rsidRDefault="0057590C">
      <w:pPr>
        <w:rPr>
          <w:rFonts w:cs="Tahoma"/>
          <w:noProof/>
          <w:color w:val="000000"/>
        </w:rPr>
      </w:pPr>
      <w:r>
        <w:br w:type="page"/>
      </w:r>
    </w:p>
    <w:p w14:paraId="7C386687" w14:textId="64760A0E" w:rsidR="00C02B12" w:rsidRPr="00DD36CA" w:rsidRDefault="006711E1" w:rsidP="00F53FCC">
      <w:pPr>
        <w:pStyle w:val="Heading2"/>
      </w:pPr>
      <w:bookmarkStart w:id="43" w:name="_Toc31377128"/>
      <w:r>
        <w:lastRenderedPageBreak/>
        <w:t>Appendix D</w:t>
      </w:r>
      <w:bookmarkEnd w:id="42"/>
      <w:r w:rsidR="00080844">
        <w:t xml:space="preserve">: </w:t>
      </w:r>
      <w:r w:rsidR="003430D8">
        <w:t xml:space="preserve">The </w:t>
      </w:r>
      <w:r w:rsidR="005C1AB0">
        <w:t>Value of</w:t>
      </w:r>
      <w:r w:rsidR="00524EEE">
        <w:t xml:space="preserve"> Sandboxed Analytics</w:t>
      </w:r>
      <w:bookmarkEnd w:id="43"/>
      <w:r w:rsidR="00C02B12" w:rsidRPr="00DD36CA">
        <w:t xml:space="preserve"> </w:t>
      </w:r>
    </w:p>
    <w:p w14:paraId="50106C67" w14:textId="117BE06C" w:rsidR="00A264C9" w:rsidRDefault="00892F46" w:rsidP="00C418D0">
      <w:pPr>
        <w:pStyle w:val="Body"/>
      </w:pPr>
      <w:r>
        <w:t xml:space="preserve">APIs alone are </w:t>
      </w:r>
      <w:r w:rsidR="00974648">
        <w:t xml:space="preserve">not </w:t>
      </w:r>
      <w:r>
        <w:t xml:space="preserve">likely </w:t>
      </w:r>
      <w:r w:rsidR="00471EA1">
        <w:t>enough</w:t>
      </w:r>
      <w:r w:rsidR="007E0315">
        <w:t xml:space="preserve"> to support automated analytics</w:t>
      </w:r>
      <w:r w:rsidR="00974648">
        <w:t xml:space="preserve"> for the Asset Performance Center</w:t>
      </w:r>
      <w:r w:rsidR="007E0315">
        <w:t>.</w:t>
      </w:r>
      <w:r w:rsidR="00471EA1">
        <w:t xml:space="preserve">  </w:t>
      </w:r>
      <w:r w:rsidR="00974648">
        <w:t xml:space="preserve">GPA believes that </w:t>
      </w:r>
      <w:r w:rsidR="007E0315">
        <w:t xml:space="preserve">a structured </w:t>
      </w:r>
      <w:r w:rsidR="008C29DC">
        <w:t>framework</w:t>
      </w:r>
      <w:r w:rsidR="007E0315">
        <w:t xml:space="preserve"> </w:t>
      </w:r>
      <w:r w:rsidR="00974648">
        <w:t xml:space="preserve">is necessary </w:t>
      </w:r>
      <w:r w:rsidR="007E0315">
        <w:t xml:space="preserve">to </w:t>
      </w:r>
      <w:r w:rsidR="00A97A5E">
        <w:t xml:space="preserve">reliably run </w:t>
      </w:r>
      <w:r w:rsidR="008330D0">
        <w:t xml:space="preserve">analytics developed by </w:t>
      </w:r>
      <w:r w:rsidR="002440D8">
        <w:t>numerous parties</w:t>
      </w:r>
      <w:r w:rsidR="00585601">
        <w:t xml:space="preserve"> </w:t>
      </w:r>
      <w:r w:rsidR="004D0D8C">
        <w:t xml:space="preserve">while </w:t>
      </w:r>
      <w:r w:rsidR="00B6056B">
        <w:t xml:space="preserve">assuring </w:t>
      </w:r>
      <w:r w:rsidR="00974648">
        <w:t>overall system reliability and security.</w:t>
      </w:r>
    </w:p>
    <w:p w14:paraId="5DB89F1E" w14:textId="516B141C" w:rsidR="005702B0" w:rsidRDefault="004C415C" w:rsidP="00C418D0">
      <w:pPr>
        <w:pStyle w:val="Body"/>
      </w:pPr>
      <w:r>
        <w:t xml:space="preserve">Early on in the development of </w:t>
      </w:r>
      <w:r w:rsidR="0094757D">
        <w:t>automated systems to process waveforms</w:t>
      </w:r>
      <w:r w:rsidR="004C3131">
        <w:t xml:space="preserve"> and </w:t>
      </w:r>
      <w:r w:rsidR="00C9636B">
        <w:t xml:space="preserve">notify line and electrician crews of </w:t>
      </w:r>
      <w:r w:rsidR="00CF53B1">
        <w:t>the location and cause of system events</w:t>
      </w:r>
      <w:r w:rsidR="00AF0F15">
        <w:t xml:space="preserve">, GPA was presented the challenge of accommodating experimental </w:t>
      </w:r>
      <w:r w:rsidR="00233489">
        <w:t xml:space="preserve">research </w:t>
      </w:r>
      <w:r w:rsidR="000A7497">
        <w:t xml:space="preserve">that </w:t>
      </w:r>
      <w:r w:rsidR="001A69B5">
        <w:t>add</w:t>
      </w:r>
      <w:r w:rsidR="00BA30F2">
        <w:t xml:space="preserve"> new</w:t>
      </w:r>
      <w:r w:rsidR="00233489">
        <w:t xml:space="preserve"> analytics</w:t>
      </w:r>
      <w:r w:rsidR="00BA30F2">
        <w:t>.</w:t>
      </w:r>
      <w:r w:rsidR="00813AF9">
        <w:t xml:space="preserve">  </w:t>
      </w:r>
      <w:r w:rsidR="00A3318B">
        <w:t xml:space="preserve">Often these “experiments” were developed </w:t>
      </w:r>
      <w:r w:rsidR="00C6435B">
        <w:t xml:space="preserve">by research institutions </w:t>
      </w:r>
      <w:r w:rsidR="00792D54">
        <w:t xml:space="preserve">with expert </w:t>
      </w:r>
      <w:r w:rsidR="000F4B9A">
        <w:t xml:space="preserve">academic engineering and scientific sills but limited </w:t>
      </w:r>
      <w:r w:rsidR="00B970DD">
        <w:t xml:space="preserve">IT knowledge.  The platforms for </w:t>
      </w:r>
      <w:r w:rsidR="004A71EB">
        <w:t>development of these experiments</w:t>
      </w:r>
      <w:r w:rsidR="008D3F21">
        <w:t xml:space="preserve"> – such as M</w:t>
      </w:r>
      <w:r w:rsidR="008E693E">
        <w:t>ATLAB</w:t>
      </w:r>
      <w:r w:rsidR="008D3F21">
        <w:t xml:space="preserve"> </w:t>
      </w:r>
      <w:r w:rsidR="007327CC">
        <w:t>--</w:t>
      </w:r>
      <w:r w:rsidR="004A71EB">
        <w:t xml:space="preserve"> </w:t>
      </w:r>
      <w:r w:rsidR="00FF0B8A">
        <w:t xml:space="preserve">also tended </w:t>
      </w:r>
      <w:r w:rsidR="00EE2603">
        <w:t xml:space="preserve">to </w:t>
      </w:r>
      <w:r w:rsidR="0015664B">
        <w:t xml:space="preserve">be fragile and </w:t>
      </w:r>
      <w:r w:rsidR="00EE2603">
        <w:t xml:space="preserve">not be well-aligned with </w:t>
      </w:r>
      <w:r w:rsidR="0085313D">
        <w:t>the features necessary for production-grade deployments.</w:t>
      </w:r>
      <w:r w:rsidR="00C418D0">
        <w:t xml:space="preserve"> </w:t>
      </w:r>
      <w:r w:rsidR="00EC629D">
        <w:t xml:space="preserve">  </w:t>
      </w:r>
      <w:r w:rsidR="00E37C78">
        <w:t xml:space="preserve">To make this work </w:t>
      </w:r>
      <w:r w:rsidR="00A427FC">
        <w:t xml:space="preserve">even </w:t>
      </w:r>
      <w:r w:rsidR="00E37C78">
        <w:t>more complex</w:t>
      </w:r>
      <w:r w:rsidR="00EC629D">
        <w:t xml:space="preserve">, </w:t>
      </w:r>
      <w:r w:rsidR="00983113">
        <w:t xml:space="preserve">commonly </w:t>
      </w:r>
      <w:r w:rsidR="00142D88">
        <w:t xml:space="preserve">these experiments </w:t>
      </w:r>
      <w:r w:rsidR="001624CC">
        <w:t>involved intellectual property not owned by the utility or by GPA</w:t>
      </w:r>
      <w:r w:rsidR="00883D5D">
        <w:t xml:space="preserve">.  Rather, </w:t>
      </w:r>
      <w:r w:rsidR="004012D7">
        <w:t>th</w:t>
      </w:r>
      <w:r w:rsidR="003051B6">
        <w:t>is</w:t>
      </w:r>
      <w:r w:rsidR="004012D7">
        <w:t xml:space="preserve"> </w:t>
      </w:r>
      <w:r w:rsidR="00671994">
        <w:t xml:space="preserve">IP </w:t>
      </w:r>
      <w:r w:rsidR="002F0F3B">
        <w:t xml:space="preserve">was more sensitive </w:t>
      </w:r>
      <w:r w:rsidR="00C328B9">
        <w:t>than could be protected by an NDA</w:t>
      </w:r>
      <w:r w:rsidR="00001D4F">
        <w:t xml:space="preserve"> </w:t>
      </w:r>
      <w:r w:rsidR="00794B49">
        <w:t>so that the own</w:t>
      </w:r>
      <w:r w:rsidR="00795C30">
        <w:t>ing institution desired to have</w:t>
      </w:r>
      <w:r w:rsidR="00FA4230">
        <w:t xml:space="preserve"> </w:t>
      </w:r>
      <w:r w:rsidR="007E72FA">
        <w:t>no discl</w:t>
      </w:r>
      <w:r w:rsidR="00BA4EB0">
        <w:t>osure</w:t>
      </w:r>
      <w:r w:rsidR="007A20A5">
        <w:t xml:space="preserve"> of </w:t>
      </w:r>
      <w:r w:rsidR="004315D0">
        <w:t xml:space="preserve">the functionality </w:t>
      </w:r>
      <w:r w:rsidR="00BA4EB0">
        <w:t xml:space="preserve">provided within </w:t>
      </w:r>
      <w:r w:rsidR="00795C30">
        <w:t xml:space="preserve">an </w:t>
      </w:r>
      <w:r w:rsidR="002A33CE">
        <w:t>innovat</w:t>
      </w:r>
      <w:r w:rsidR="00A1202F">
        <w:t>ive</w:t>
      </w:r>
      <w:r w:rsidR="00BA4EB0">
        <w:t xml:space="preserve"> </w:t>
      </w:r>
      <w:r w:rsidR="008B3047">
        <w:t xml:space="preserve">computational </w:t>
      </w:r>
      <w:r w:rsidR="00E070E7">
        <w:t>“</w:t>
      </w:r>
      <w:r w:rsidR="004315D0">
        <w:t>black box</w:t>
      </w:r>
      <w:r w:rsidR="00E070E7">
        <w:t>”</w:t>
      </w:r>
      <w:r w:rsidR="004315D0">
        <w:t>.</w:t>
      </w:r>
    </w:p>
    <w:p w14:paraId="5D3EE19A" w14:textId="7DB383A6" w:rsidR="008D296A" w:rsidRDefault="007D04CA" w:rsidP="00C418D0">
      <w:pPr>
        <w:pStyle w:val="Body"/>
      </w:pPr>
      <w:r>
        <w:t xml:space="preserve">The </w:t>
      </w:r>
      <w:r w:rsidR="00EC629D">
        <w:t xml:space="preserve">GPA solution </w:t>
      </w:r>
      <w:r w:rsidR="006816F8">
        <w:t>was to create</w:t>
      </w:r>
      <w:r w:rsidR="00B22896">
        <w:t xml:space="preserve"> </w:t>
      </w:r>
      <w:r w:rsidR="00D76B83">
        <w:t xml:space="preserve">a </w:t>
      </w:r>
      <w:r w:rsidR="00B22896">
        <w:t xml:space="preserve">structured </w:t>
      </w:r>
      <w:r w:rsidR="00550BCC">
        <w:t>application development framework called</w:t>
      </w:r>
      <w:r w:rsidR="006816F8">
        <w:t xml:space="preserve"> openEAS (Extended Analytic Services)</w:t>
      </w:r>
      <w:r w:rsidR="00976538">
        <w:t xml:space="preserve"> where each </w:t>
      </w:r>
      <w:r w:rsidR="00550BCC">
        <w:t xml:space="preserve">third-party </w:t>
      </w:r>
      <w:r w:rsidR="00976538">
        <w:t>analytic</w:t>
      </w:r>
      <w:r w:rsidR="0090623B">
        <w:t xml:space="preserve"> is</w:t>
      </w:r>
      <w:r w:rsidR="00550BCC">
        <w:t xml:space="preserve"> implemented as a</w:t>
      </w:r>
      <w:r w:rsidR="0046537C">
        <w:t xml:space="preserve"> separate </w:t>
      </w:r>
      <w:r w:rsidR="007571C1">
        <w:t xml:space="preserve">Windows </w:t>
      </w:r>
      <w:r w:rsidR="0046537C">
        <w:t>service that c</w:t>
      </w:r>
      <w:r w:rsidR="00186C92">
        <w:t>an</w:t>
      </w:r>
      <w:r w:rsidR="002554C2">
        <w:t xml:space="preserve"> safely run or</w:t>
      </w:r>
      <w:r w:rsidR="0046537C">
        <w:t xml:space="preserve"> fail </w:t>
      </w:r>
      <w:r w:rsidR="00B15217">
        <w:t>independently</w:t>
      </w:r>
      <w:r w:rsidR="0046537C">
        <w:t xml:space="preserve"> of </w:t>
      </w:r>
      <w:r w:rsidR="00B15217">
        <w:t xml:space="preserve">the primary production service.  </w:t>
      </w:r>
      <w:r w:rsidR="007571C1">
        <w:t xml:space="preserve">openEAS </w:t>
      </w:r>
      <w:r w:rsidR="008566E5">
        <w:t xml:space="preserve">works by </w:t>
      </w:r>
      <w:r w:rsidR="007571C1">
        <w:t>provid</w:t>
      </w:r>
      <w:r w:rsidR="008566E5">
        <w:t>ing</w:t>
      </w:r>
      <w:r w:rsidR="007571C1">
        <w:t xml:space="preserve"> a wrapper for the </w:t>
      </w:r>
      <w:r w:rsidR="00F75961">
        <w:t xml:space="preserve">third-party developed </w:t>
      </w:r>
      <w:r w:rsidR="006B13FC">
        <w:t>software (typically a DLL)</w:t>
      </w:r>
      <w:r w:rsidR="00F75961">
        <w:t xml:space="preserve"> providing inputs to the</w:t>
      </w:r>
      <w:r w:rsidR="006B13FC">
        <w:t xml:space="preserve"> software</w:t>
      </w:r>
      <w:r w:rsidR="00DB1BDE">
        <w:t>, invoking the</w:t>
      </w:r>
      <w:r w:rsidR="006B13FC">
        <w:t xml:space="preserve"> software</w:t>
      </w:r>
      <w:r w:rsidR="00DB1BDE">
        <w:t xml:space="preserve"> and consuming </w:t>
      </w:r>
      <w:r w:rsidR="004B2267">
        <w:t xml:space="preserve">the </w:t>
      </w:r>
      <w:r w:rsidR="00DB1BDE">
        <w:t>results from it.</w:t>
      </w:r>
      <w:r w:rsidR="00A73F22">
        <w:t xml:space="preserve"> </w:t>
      </w:r>
      <w:r w:rsidR="00762C89">
        <w:t xml:space="preserve">  </w:t>
      </w:r>
      <w:r w:rsidR="00D03D58">
        <w:t>T</w:t>
      </w:r>
      <w:r w:rsidR="00762C89">
        <w:t xml:space="preserve">he primary </w:t>
      </w:r>
      <w:r w:rsidR="00D03D58">
        <w:t>disturbance analytics</w:t>
      </w:r>
      <w:r w:rsidR="00E51F5B">
        <w:t xml:space="preserve"> automated service</w:t>
      </w:r>
      <w:r w:rsidR="00D03D58">
        <w:t>, openXDA,</w:t>
      </w:r>
      <w:r w:rsidR="00976538">
        <w:t xml:space="preserve"> </w:t>
      </w:r>
      <w:r w:rsidR="00B45766">
        <w:t xml:space="preserve">is designed to flexibly support numerous separately running </w:t>
      </w:r>
      <w:r w:rsidR="00BF2D9F">
        <w:t>openEAS analytics</w:t>
      </w:r>
      <w:r w:rsidR="00E51F5B">
        <w:t>.</w:t>
      </w:r>
    </w:p>
    <w:p w14:paraId="43D65CB5" w14:textId="27907DFE" w:rsidR="00CF42B0" w:rsidRDefault="009C472A" w:rsidP="00C418D0">
      <w:pPr>
        <w:pStyle w:val="Body"/>
      </w:pPr>
      <w:r>
        <w:t xml:space="preserve">The </w:t>
      </w:r>
      <w:r w:rsidR="00645ECD">
        <w:t xml:space="preserve">key for smooth operation of openEAS </w:t>
      </w:r>
      <w:r w:rsidR="00574BE1">
        <w:t xml:space="preserve">is </w:t>
      </w:r>
      <w:r w:rsidR="00645ECD">
        <w:t xml:space="preserve">in management of its interaction with the data layer, the openXDA database.  From the </w:t>
      </w:r>
      <w:r w:rsidR="00574BE1">
        <w:t>open</w:t>
      </w:r>
      <w:r w:rsidR="00017E2A">
        <w:t>XDA</w:t>
      </w:r>
      <w:r w:rsidR="00574BE1">
        <w:t xml:space="preserve"> </w:t>
      </w:r>
      <w:r w:rsidR="00645ECD">
        <w:t xml:space="preserve">database, the </w:t>
      </w:r>
      <w:r w:rsidR="00574BE1">
        <w:t xml:space="preserve">openEAS </w:t>
      </w:r>
      <w:r w:rsidR="00645ECD">
        <w:t xml:space="preserve">service receives the trigger to execute </w:t>
      </w:r>
      <w:r w:rsidR="00574BE1">
        <w:t xml:space="preserve">-- </w:t>
      </w:r>
      <w:r w:rsidR="00933684">
        <w:t>based on source waveform dat</w:t>
      </w:r>
      <w:r w:rsidR="00574BE1">
        <w:t xml:space="preserve">a, based </w:t>
      </w:r>
      <w:r w:rsidR="001A69B5">
        <w:t xml:space="preserve">on </w:t>
      </w:r>
      <w:r w:rsidR="00A37684">
        <w:t xml:space="preserve">openly published analytic results that are available </w:t>
      </w:r>
      <w:r w:rsidR="009C530E">
        <w:t xml:space="preserve">from standard openXDA </w:t>
      </w:r>
      <w:r w:rsidR="005C72E9">
        <w:t>analytic services</w:t>
      </w:r>
      <w:r w:rsidR="00896503">
        <w:t>, or based on custom parameters that must be computed by the openXDA service</w:t>
      </w:r>
      <w:r w:rsidR="005C72E9">
        <w:t>.</w:t>
      </w:r>
      <w:r w:rsidR="00B052A8">
        <w:t xml:space="preserve">  Once triggered, openEAS </w:t>
      </w:r>
      <w:r w:rsidR="00C258F9">
        <w:t xml:space="preserve">writes </w:t>
      </w:r>
      <w:r w:rsidR="00860C2A">
        <w:t>the</w:t>
      </w:r>
      <w:r w:rsidR="00C258F9">
        <w:t xml:space="preserve"> results</w:t>
      </w:r>
      <w:r w:rsidR="00860C2A">
        <w:t xml:space="preserve"> from the third-party analytic</w:t>
      </w:r>
      <w:r w:rsidR="00C258F9">
        <w:t xml:space="preserve"> to the openXDA database so that these results can be included in disturbance </w:t>
      </w:r>
      <w:r w:rsidR="00421E1E">
        <w:t xml:space="preserve">visualization tools like the open PQ Dashboard or System Event </w:t>
      </w:r>
      <w:r w:rsidR="00274776">
        <w:t>Browser</w:t>
      </w:r>
      <w:r w:rsidR="00421E1E">
        <w:t>.</w:t>
      </w:r>
      <w:r w:rsidR="00516500">
        <w:t xml:space="preserve">  Finally, openEAS logging is integrated with openXDA so tha</w:t>
      </w:r>
      <w:r w:rsidR="0024331D">
        <w:t xml:space="preserve">t </w:t>
      </w:r>
      <w:r w:rsidR="0091553E">
        <w:t xml:space="preserve">any performance or operational issues </w:t>
      </w:r>
      <w:r w:rsidR="001755BA">
        <w:t xml:space="preserve">with third-party analytics </w:t>
      </w:r>
      <w:r w:rsidR="0091553E">
        <w:t xml:space="preserve">can be </w:t>
      </w:r>
      <w:r w:rsidR="00650898">
        <w:t>diagnosed and corrected.</w:t>
      </w:r>
    </w:p>
    <w:p w14:paraId="3BDED359" w14:textId="77777777" w:rsidR="00CD7E47" w:rsidRDefault="008D296A" w:rsidP="00C418D0">
      <w:pPr>
        <w:pStyle w:val="Body"/>
      </w:pPr>
      <w:r>
        <w:t xml:space="preserve">GPA provides instructions </w:t>
      </w:r>
      <w:r w:rsidR="001E78AE">
        <w:t xml:space="preserve">on use of openEAS and </w:t>
      </w:r>
      <w:r w:rsidR="00421E1E">
        <w:t>these instructions</w:t>
      </w:r>
      <w:r w:rsidR="00880731">
        <w:t xml:space="preserve"> have been sufficient </w:t>
      </w:r>
      <w:r w:rsidR="00E90142">
        <w:t xml:space="preserve">to allow the independent </w:t>
      </w:r>
      <w:r w:rsidR="00274776">
        <w:t xml:space="preserve">development of openEAS services </w:t>
      </w:r>
      <w:r w:rsidR="001E78AE">
        <w:t xml:space="preserve">by </w:t>
      </w:r>
      <w:r w:rsidR="00274776">
        <w:t xml:space="preserve">both </w:t>
      </w:r>
      <w:r w:rsidR="001E78AE">
        <w:t xml:space="preserve">researchers and by TVA to </w:t>
      </w:r>
      <w:r w:rsidR="00465089">
        <w:t xml:space="preserve">“bolt on” </w:t>
      </w:r>
      <w:r w:rsidR="0045414E">
        <w:t>additional automated processes to openXDA.</w:t>
      </w:r>
    </w:p>
    <w:p w14:paraId="46389474" w14:textId="4E8F6574" w:rsidR="008207E1" w:rsidRDefault="00570C7E" w:rsidP="00C418D0">
      <w:pPr>
        <w:pStyle w:val="Body"/>
      </w:pPr>
      <w:r>
        <w:t>For this RFP, the</w:t>
      </w:r>
      <w:r w:rsidR="0012600E">
        <w:t xml:space="preserve"> automation analog to </w:t>
      </w:r>
      <w:r w:rsidR="00261B0D">
        <w:t xml:space="preserve">GPA’s </w:t>
      </w:r>
      <w:r w:rsidR="0012600E">
        <w:t xml:space="preserve">openXDA </w:t>
      </w:r>
      <w:r w:rsidR="00261B0D">
        <w:t xml:space="preserve">solution </w:t>
      </w:r>
      <w:r w:rsidR="0012600E">
        <w:t xml:space="preserve">is the </w:t>
      </w:r>
      <w:r w:rsidR="000A4D45">
        <w:t xml:space="preserve">combination of </w:t>
      </w:r>
      <w:r w:rsidR="002D0EAC">
        <w:t xml:space="preserve">(1) </w:t>
      </w:r>
      <w:r w:rsidR="000A4D45">
        <w:t xml:space="preserve">the </w:t>
      </w:r>
      <w:r w:rsidR="0012600E">
        <w:t>openADI Data Validation and Loader Service</w:t>
      </w:r>
      <w:r w:rsidR="000A4D45">
        <w:t xml:space="preserve"> </w:t>
      </w:r>
      <w:r w:rsidR="00AD52CE">
        <w:t>that</w:t>
      </w:r>
      <w:r w:rsidR="000A4D45">
        <w:t xml:space="preserve"> would pick up and trigger specific third party analytics </w:t>
      </w:r>
      <w:r w:rsidR="001B069E">
        <w:t>based on newly available source data</w:t>
      </w:r>
      <w:r w:rsidR="002D0EAC">
        <w:t xml:space="preserve"> and (2) the openADI Results Service</w:t>
      </w:r>
      <w:r w:rsidR="00AD52CE">
        <w:t xml:space="preserve"> that</w:t>
      </w:r>
      <w:r w:rsidR="002D0EAC">
        <w:t xml:space="preserve"> would include logic for automated notification of </w:t>
      </w:r>
      <w:r w:rsidR="00653042">
        <w:t xml:space="preserve">“poor asset health” based on the results </w:t>
      </w:r>
      <w:r w:rsidR="00E66A86">
        <w:t xml:space="preserve">of perhaps multiple </w:t>
      </w:r>
      <w:r w:rsidR="00532552">
        <w:t>analytics.</w:t>
      </w:r>
    </w:p>
    <w:p w14:paraId="2B39BE72" w14:textId="614BECDC" w:rsidR="0012600E" w:rsidRDefault="0012600E">
      <w:pPr>
        <w:rPr>
          <w:rFonts w:ascii="Calibri" w:hAnsi="Calibri" w:cstheme="minorHAnsi"/>
        </w:rPr>
      </w:pPr>
      <w:r>
        <w:br w:type="page"/>
      </w:r>
    </w:p>
    <w:p w14:paraId="3DC45AFB" w14:textId="517675F3" w:rsidR="00FA72CD" w:rsidRPr="006D57B9" w:rsidRDefault="00FA72CD" w:rsidP="00FA72CD">
      <w:pPr>
        <w:pStyle w:val="Heading2"/>
      </w:pPr>
      <w:bookmarkStart w:id="44" w:name="_Toc31377129"/>
      <w:r>
        <w:lastRenderedPageBreak/>
        <w:t>Appendix E</w:t>
      </w:r>
      <w:r w:rsidR="00080844">
        <w:t xml:space="preserve">: </w:t>
      </w:r>
      <w:r>
        <w:t xml:space="preserve">The </w:t>
      </w:r>
      <w:r w:rsidR="00225122">
        <w:t xml:space="preserve">GPA </w:t>
      </w:r>
      <w:r>
        <w:t>Gemstone Library</w:t>
      </w:r>
      <w:bookmarkEnd w:id="44"/>
    </w:p>
    <w:p w14:paraId="3D255264" w14:textId="77777777" w:rsidR="00FA72CD" w:rsidRDefault="00FA72CD"/>
    <w:p w14:paraId="174DD478" w14:textId="1E01A9AD" w:rsidR="00FA72CD" w:rsidRDefault="00FA72CD" w:rsidP="00D91976">
      <w:pPr>
        <w:pStyle w:val="figure"/>
      </w:pPr>
      <w:r>
        <w:drawing>
          <wp:inline distT="0" distB="0" distL="0" distR="0" wp14:anchorId="40D715E2" wp14:editId="29E9D31A">
            <wp:extent cx="4486275" cy="1067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3226" cy="1068701"/>
                    </a:xfrm>
                    <a:prstGeom prst="rect">
                      <a:avLst/>
                    </a:prstGeom>
                    <a:noFill/>
                    <a:ln>
                      <a:noFill/>
                    </a:ln>
                  </pic:spPr>
                </pic:pic>
              </a:graphicData>
            </a:graphic>
          </wp:inline>
        </w:drawing>
      </w:r>
    </w:p>
    <w:p w14:paraId="6AD397A6" w14:textId="25BC77A8" w:rsidR="00626B15" w:rsidRDefault="00626B15"/>
    <w:p w14:paraId="1B97A771" w14:textId="3EB7357B" w:rsidR="00EE46CE" w:rsidRDefault="00EE46CE" w:rsidP="00412125">
      <w:pPr>
        <w:pStyle w:val="Body"/>
      </w:pPr>
      <w:r>
        <w:t xml:space="preserve">The </w:t>
      </w:r>
      <w:r w:rsidR="00653888">
        <w:t xml:space="preserve">GPA </w:t>
      </w:r>
      <w:r>
        <w:t>Gemstone Librar</w:t>
      </w:r>
      <w:r w:rsidR="00980A10">
        <w:t xml:space="preserve">y </w:t>
      </w:r>
      <w:r w:rsidR="00FE114F">
        <w:t xml:space="preserve">is </w:t>
      </w:r>
      <w:r>
        <w:t>a collection of</w:t>
      </w:r>
      <w:r w:rsidR="00A86C19">
        <w:t xml:space="preserve"> reusable</w:t>
      </w:r>
      <w:r>
        <w:t xml:space="preserve"> </w:t>
      </w:r>
      <w:r w:rsidR="00C678C4">
        <w:t>code elements</w:t>
      </w:r>
      <w:r w:rsidR="00F30802">
        <w:t xml:space="preserve"> </w:t>
      </w:r>
      <w:r>
        <w:t xml:space="preserve">based </w:t>
      </w:r>
      <w:r w:rsidR="00FD25D8">
        <w:t xml:space="preserve">on </w:t>
      </w:r>
      <w:r w:rsidR="00FE114F">
        <w:t xml:space="preserve">work </w:t>
      </w:r>
      <w:r w:rsidR="00FD25D8">
        <w:t xml:space="preserve">that started with </w:t>
      </w:r>
      <w:r w:rsidR="00FE114F">
        <w:t>development of the openPDC at TVA in</w:t>
      </w:r>
      <w:r>
        <w:t xml:space="preserve"> 2004. These libraries represent a focused re-</w:t>
      </w:r>
      <w:r w:rsidR="00856929">
        <w:t>envisioning and</w:t>
      </w:r>
      <w:r w:rsidR="008D04F1">
        <w:t xml:space="preserve"> re-engineering </w:t>
      </w:r>
      <w:r>
        <w:t xml:space="preserve">of the best code, i.e., the "gems", from the </w:t>
      </w:r>
      <w:r w:rsidR="00C24F81">
        <w:t xml:space="preserve">GPA </w:t>
      </w:r>
      <w:r>
        <w:t xml:space="preserve">Grid Solutions Framework (GSF) which </w:t>
      </w:r>
      <w:r w:rsidR="001A69B5">
        <w:t xml:space="preserve">have </w:t>
      </w:r>
      <w:r w:rsidR="00B73954">
        <w:t>been in use since 2010</w:t>
      </w:r>
      <w:r>
        <w:t xml:space="preserve"> </w:t>
      </w:r>
      <w:r w:rsidR="00FF2298">
        <w:t xml:space="preserve">in all GPA products, </w:t>
      </w:r>
      <w:r w:rsidR="004B6EBD">
        <w:t>in numerous</w:t>
      </w:r>
      <w:r>
        <w:t xml:space="preserve"> </w:t>
      </w:r>
      <w:r w:rsidR="00FF2298">
        <w:t xml:space="preserve">other </w:t>
      </w:r>
      <w:r>
        <w:t xml:space="preserve">open source projects and </w:t>
      </w:r>
      <w:r w:rsidR="00CC52CD">
        <w:t xml:space="preserve">by </w:t>
      </w:r>
      <w:r w:rsidR="0000108F">
        <w:t xml:space="preserve">multiple </w:t>
      </w:r>
      <w:r>
        <w:t>electric</w:t>
      </w:r>
      <w:r w:rsidR="00CC52CD">
        <w:t xml:space="preserve"> </w:t>
      </w:r>
      <w:r>
        <w:t>utilities worldwide.</w:t>
      </w:r>
    </w:p>
    <w:p w14:paraId="4A471C42" w14:textId="2F570C2F" w:rsidR="00626B15" w:rsidRDefault="00EE46CE" w:rsidP="00412125">
      <w:pPr>
        <w:pStyle w:val="Body"/>
      </w:pPr>
      <w:r>
        <w:t xml:space="preserve">The </w:t>
      </w:r>
      <w:r w:rsidR="00911775">
        <w:t xml:space="preserve">GPA </w:t>
      </w:r>
      <w:r>
        <w:t xml:space="preserve">Gemstone Libraries contain </w:t>
      </w:r>
      <w:r w:rsidR="00CC4C98">
        <w:t>a diverse collection</w:t>
      </w:r>
      <w:r>
        <w:t xml:space="preserve"> of </w:t>
      </w:r>
      <w:r w:rsidR="00B535B7">
        <w:t xml:space="preserve">well documented </w:t>
      </w:r>
      <w:r>
        <w:t xml:space="preserve">code useful for any </w:t>
      </w:r>
      <w:r w:rsidR="00CC4C98">
        <w:t xml:space="preserve">development </w:t>
      </w:r>
      <w:r>
        <w:t>project with hundreds of class libraries that extend or expand the functionality provided with .NET</w:t>
      </w:r>
      <w:r w:rsidR="00B424EE">
        <w:t xml:space="preserve">.  In addition, </w:t>
      </w:r>
      <w:r w:rsidR="00CB2344">
        <w:t>the Gemstone Library</w:t>
      </w:r>
      <w:r w:rsidR="00B424EE">
        <w:t xml:space="preserve"> </w:t>
      </w:r>
      <w:r w:rsidR="007E31BF">
        <w:t xml:space="preserve">includes </w:t>
      </w:r>
      <w:r>
        <w:t>tools and protocol parsers that are useful for the electric power industry</w:t>
      </w:r>
      <w:r w:rsidR="008C4461">
        <w:t xml:space="preserve">. This </w:t>
      </w:r>
      <w:r w:rsidR="00FF06BB">
        <w:t>functionality includes code for</w:t>
      </w:r>
      <w:r w:rsidR="00644C74">
        <w:t xml:space="preserve"> </w:t>
      </w:r>
      <w:r w:rsidR="00A148E5">
        <w:t>handling</w:t>
      </w:r>
      <w:r w:rsidR="009B3830">
        <w:t xml:space="preserve"> </w:t>
      </w:r>
      <w:r w:rsidR="009B3830" w:rsidRPr="009B3830">
        <w:t xml:space="preserve">PQDIF, COMTRADE, </w:t>
      </w:r>
      <w:r w:rsidR="00E74298">
        <w:t xml:space="preserve">EMAX, SEL Event Files, </w:t>
      </w:r>
      <w:r w:rsidR="009B3830">
        <w:t xml:space="preserve">Modbus, DNP3, </w:t>
      </w:r>
      <w:r w:rsidR="009B3830" w:rsidRPr="009B3830">
        <w:t>IEEE C37.118, IEEE 1344, IEC 61850-90-5, UTK F-NET, SEL Fast Message, MMS</w:t>
      </w:r>
      <w:r w:rsidR="009B3830">
        <w:t xml:space="preserve">, FTP, eDNA, OSI-PI, </w:t>
      </w:r>
      <w:r w:rsidR="00E71546">
        <w:t xml:space="preserve">openHistorian, </w:t>
      </w:r>
      <w:r w:rsidR="009B3830">
        <w:t xml:space="preserve">MongoDB, </w:t>
      </w:r>
      <w:r w:rsidR="00E74298">
        <w:t xml:space="preserve">Kafka, </w:t>
      </w:r>
      <w:proofErr w:type="spellStart"/>
      <w:r w:rsidR="009B3830">
        <w:t>InfluxDB</w:t>
      </w:r>
      <w:proofErr w:type="spellEnd"/>
      <w:r w:rsidR="009B3830">
        <w:t xml:space="preserve">, Grafana, </w:t>
      </w:r>
      <w:r w:rsidR="00E74298">
        <w:t xml:space="preserve">and </w:t>
      </w:r>
      <w:r w:rsidR="009B3830">
        <w:t>Azure</w:t>
      </w:r>
      <w:r w:rsidR="00E74298">
        <w:t xml:space="preserve"> Event Hub</w:t>
      </w:r>
      <w:r w:rsidR="008C4461">
        <w:t>, among</w:t>
      </w:r>
      <w:r w:rsidR="006C37C2">
        <w:t xml:space="preserve"> many</w:t>
      </w:r>
      <w:r w:rsidR="008C4461">
        <w:t xml:space="preserve"> others</w:t>
      </w:r>
      <w:r>
        <w:t>.</w:t>
      </w:r>
    </w:p>
    <w:p w14:paraId="03270717" w14:textId="158B7FC9" w:rsidR="00EE46CE" w:rsidRDefault="00EE46CE" w:rsidP="00412125">
      <w:pPr>
        <w:pStyle w:val="Body"/>
      </w:pPr>
      <w:r>
        <w:t xml:space="preserve">The </w:t>
      </w:r>
      <w:r w:rsidR="008849CC">
        <w:t xml:space="preserve">GPA </w:t>
      </w:r>
      <w:r>
        <w:t xml:space="preserve">Gemstone </w:t>
      </w:r>
      <w:r w:rsidR="00BB64AD">
        <w:t>Library is</w:t>
      </w:r>
      <w:r w:rsidR="008C23A8">
        <w:t xml:space="preserve"> buil</w:t>
      </w:r>
      <w:r w:rsidR="00A16BF5">
        <w:t>t</w:t>
      </w:r>
      <w:r w:rsidR="008C23A8">
        <w:t xml:space="preserve"> using </w:t>
      </w:r>
      <w:r>
        <w:t xml:space="preserve">.NET Core </w:t>
      </w:r>
      <w:r w:rsidR="00591297">
        <w:t xml:space="preserve">-- </w:t>
      </w:r>
      <w:r w:rsidR="008C23A8">
        <w:t xml:space="preserve">specifically </w:t>
      </w:r>
      <w:r>
        <w:t xml:space="preserve">targeting </w:t>
      </w:r>
      <w:r w:rsidR="008C23A8">
        <w:t xml:space="preserve">the long-term support (LTS) </w:t>
      </w:r>
      <w:r w:rsidR="00A21339">
        <w:t>V</w:t>
      </w:r>
      <w:r>
        <w:t>ersion 3.1 which was released</w:t>
      </w:r>
      <w:r w:rsidR="00E40570">
        <w:t xml:space="preserve"> </w:t>
      </w:r>
      <w:r>
        <w:t>in December</w:t>
      </w:r>
      <w:r w:rsidR="00E40570">
        <w:t xml:space="preserve"> </w:t>
      </w:r>
      <w:r>
        <w:t>2019</w:t>
      </w:r>
      <w:r w:rsidR="008C23A8">
        <w:t xml:space="preserve">. </w:t>
      </w:r>
      <w:r w:rsidR="002D7D51">
        <w:t xml:space="preserve"> </w:t>
      </w:r>
      <w:r w:rsidR="008C23A8">
        <w:t xml:space="preserve">The </w:t>
      </w:r>
      <w:r>
        <w:t xml:space="preserve">.NET Core framework </w:t>
      </w:r>
      <w:r w:rsidR="00A067E1">
        <w:t xml:space="preserve">is open source, and it has been </w:t>
      </w:r>
      <w:r>
        <w:t xml:space="preserve">developed by both Microsoft and </w:t>
      </w:r>
      <w:r w:rsidR="008C23A8">
        <w:t>the</w:t>
      </w:r>
      <w:r>
        <w:t xml:space="preserve"> </w:t>
      </w:r>
      <w:r w:rsidR="008C23A8">
        <w:t xml:space="preserve">open source </w:t>
      </w:r>
      <w:r>
        <w:t>community.</w:t>
      </w:r>
      <w:r w:rsidR="00CC658B">
        <w:t xml:space="preserve">  The </w:t>
      </w:r>
      <w:r w:rsidR="000A7788">
        <w:t xml:space="preserve">key </w:t>
      </w:r>
      <w:r w:rsidR="00CC658B">
        <w:t xml:space="preserve">benefits of .NET Core </w:t>
      </w:r>
      <w:r w:rsidR="00347C56">
        <w:t xml:space="preserve">over the standard .NET </w:t>
      </w:r>
      <w:r w:rsidR="00B25CA0">
        <w:t xml:space="preserve">frameworks </w:t>
      </w:r>
      <w:r w:rsidR="00A067E1">
        <w:t>are</w:t>
      </w:r>
      <w:r w:rsidR="00B25CA0">
        <w:t xml:space="preserve"> performance, </w:t>
      </w:r>
      <w:r w:rsidR="001C119B">
        <w:t xml:space="preserve">easier updates, </w:t>
      </w:r>
      <w:r w:rsidR="00AE3517">
        <w:t xml:space="preserve">simpler </w:t>
      </w:r>
      <w:r w:rsidR="002B5F3A">
        <w:t>maintenance</w:t>
      </w:r>
      <w:r w:rsidR="0007693D">
        <w:t xml:space="preserve"> and deployment</w:t>
      </w:r>
      <w:r w:rsidR="002B5F3A">
        <w:t xml:space="preserve">, </w:t>
      </w:r>
      <w:r w:rsidR="00E9692C">
        <w:t xml:space="preserve">cross-platform </w:t>
      </w:r>
      <w:r w:rsidR="00AF03E1">
        <w:t>implementation</w:t>
      </w:r>
      <w:r w:rsidR="00415801">
        <w:t xml:space="preserve"> and </w:t>
      </w:r>
      <w:r w:rsidR="00AF03E1">
        <w:t xml:space="preserve">improved </w:t>
      </w:r>
      <w:r w:rsidR="00415801">
        <w:t>support for cloud-based development</w:t>
      </w:r>
      <w:r w:rsidR="00AF03E1">
        <w:t xml:space="preserve">, e.g., </w:t>
      </w:r>
      <w:r w:rsidR="00C555A2">
        <w:t>A</w:t>
      </w:r>
      <w:r w:rsidR="009D0D00">
        <w:t>zure.</w:t>
      </w:r>
    </w:p>
    <w:p w14:paraId="7EC42344" w14:textId="4C19D06D" w:rsidR="008C23A8" w:rsidRDefault="009A6810" w:rsidP="00412125">
      <w:pPr>
        <w:pStyle w:val="Body"/>
      </w:pPr>
      <w:r>
        <w:t xml:space="preserve">Importantly for this RFP, </w:t>
      </w:r>
      <w:r w:rsidR="008C23A8" w:rsidRPr="008C23A8">
        <w:t xml:space="preserve">.NET Core is </w:t>
      </w:r>
      <w:r w:rsidR="0061251E">
        <w:t>also a</w:t>
      </w:r>
      <w:r w:rsidR="008C23A8" w:rsidRPr="008C23A8">
        <w:t xml:space="preserve"> robust and feature-rich framework </w:t>
      </w:r>
      <w:r w:rsidR="00C3516F">
        <w:t xml:space="preserve">for </w:t>
      </w:r>
      <w:r w:rsidR="003A6B07">
        <w:t xml:space="preserve">development </w:t>
      </w:r>
      <w:r w:rsidR="00DB7207">
        <w:t>of high-</w:t>
      </w:r>
      <w:r>
        <w:t xml:space="preserve">performance </w:t>
      </w:r>
      <w:r w:rsidRPr="008C23A8">
        <w:t>APIs</w:t>
      </w:r>
      <w:r w:rsidR="00A51B73">
        <w:t xml:space="preserve">, </w:t>
      </w:r>
      <w:r w:rsidR="00DC1516">
        <w:t xml:space="preserve">common applications, </w:t>
      </w:r>
      <w:r w:rsidR="006D1407">
        <w:t xml:space="preserve">advanced </w:t>
      </w:r>
      <w:r w:rsidR="00E22FD5">
        <w:t xml:space="preserve">data and analytic </w:t>
      </w:r>
      <w:r w:rsidR="006D1407">
        <w:t xml:space="preserve">processing </w:t>
      </w:r>
      <w:r w:rsidR="00B279E6">
        <w:t>systems</w:t>
      </w:r>
      <w:r w:rsidR="00F11646">
        <w:t>,</w:t>
      </w:r>
      <w:r w:rsidR="00A51B73">
        <w:t xml:space="preserve"> and web-based applications </w:t>
      </w:r>
      <w:r w:rsidR="008C23A8">
        <w:t xml:space="preserve">using </w:t>
      </w:r>
      <w:r w:rsidR="008C23A8" w:rsidRPr="008C23A8">
        <w:t>ASP.NET Core</w:t>
      </w:r>
      <w:r w:rsidR="00A84F48">
        <w:t>,</w:t>
      </w:r>
      <w:r w:rsidR="009D71FF">
        <w:t xml:space="preserve"> as high</w:t>
      </w:r>
      <w:r w:rsidR="000E6FE0">
        <w:t>light</w:t>
      </w:r>
      <w:r w:rsidR="0026760A">
        <w:t>ed</w:t>
      </w:r>
      <w:r w:rsidR="000E6FE0">
        <w:t xml:space="preserve"> by the figure below.</w:t>
      </w:r>
      <w:r w:rsidR="00691261">
        <w:t xml:space="preserve">  See the </w:t>
      </w:r>
      <w:r w:rsidR="001319FA">
        <w:t>URL</w:t>
      </w:r>
      <w:r w:rsidR="001E1432">
        <w:t>,</w:t>
      </w:r>
      <w:r w:rsidR="001319FA">
        <w:t xml:space="preserve"> </w:t>
      </w:r>
      <w:r w:rsidR="001E1432">
        <w:t xml:space="preserve">shown </w:t>
      </w:r>
      <w:r w:rsidR="006346F7">
        <w:t xml:space="preserve">in the image </w:t>
      </w:r>
      <w:r w:rsidR="005B56D7">
        <w:t>above</w:t>
      </w:r>
      <w:r w:rsidR="001E1432">
        <w:t>,</w:t>
      </w:r>
      <w:r w:rsidR="005B56D7">
        <w:t xml:space="preserve"> for more information </w:t>
      </w:r>
      <w:r w:rsidR="001D0E3C">
        <w:t xml:space="preserve">about </w:t>
      </w:r>
      <w:r w:rsidR="00B856C7">
        <w:t xml:space="preserve">the </w:t>
      </w:r>
      <w:r w:rsidR="001D0E3C">
        <w:t>features and use of Gemstone.</w:t>
      </w:r>
    </w:p>
    <w:p w14:paraId="6F7A315B" w14:textId="36FDA692" w:rsidR="00FA72CD" w:rsidRDefault="008C23A8" w:rsidP="00DC49DA">
      <w:pPr>
        <w:pStyle w:val="figure"/>
      </w:pPr>
      <w:r>
        <w:drawing>
          <wp:inline distT="0" distB="0" distL="0" distR="0" wp14:anchorId="1169D24A" wp14:editId="24AC01CF">
            <wp:extent cx="3800475" cy="19002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07330" cy="1903666"/>
                    </a:xfrm>
                    <a:prstGeom prst="rect">
                      <a:avLst/>
                    </a:prstGeom>
                    <a:noFill/>
                    <a:ln>
                      <a:noFill/>
                    </a:ln>
                  </pic:spPr>
                </pic:pic>
              </a:graphicData>
            </a:graphic>
          </wp:inline>
        </w:drawing>
      </w:r>
      <w:r w:rsidR="00FA72CD">
        <w:br w:type="page"/>
      </w:r>
    </w:p>
    <w:p w14:paraId="6957ECAD" w14:textId="6634921C" w:rsidR="00080844" w:rsidRPr="006D57B9" w:rsidRDefault="00080844" w:rsidP="00080844">
      <w:pPr>
        <w:pStyle w:val="Heading2"/>
      </w:pPr>
      <w:bookmarkStart w:id="45" w:name="_Toc31377130"/>
      <w:r>
        <w:lastRenderedPageBreak/>
        <w:t>Appendix F: The TPS Information Model</w:t>
      </w:r>
      <w:bookmarkEnd w:id="45"/>
    </w:p>
    <w:p w14:paraId="6D1F9B8F" w14:textId="63ADB8AC" w:rsidR="00080844" w:rsidRDefault="002A08DE" w:rsidP="000358ED">
      <w:pPr>
        <w:pStyle w:val="Body"/>
      </w:pPr>
      <w:r>
        <w:t xml:space="preserve">The figure below is from an internal TVA presentation made by Russell Robertson in </w:t>
      </w:r>
      <w:r w:rsidR="001A4B71">
        <w:t>January</w:t>
      </w:r>
      <w:r w:rsidR="009C3B63">
        <w:t xml:space="preserve"> </w:t>
      </w:r>
      <w:r>
        <w:t xml:space="preserve">2005.  The TPS Information Model was </w:t>
      </w:r>
      <w:r w:rsidR="002431EF">
        <w:t>envisioned at that time to be</w:t>
      </w:r>
      <w:r w:rsidR="001A69B5">
        <w:t xml:space="preserve"> a</w:t>
      </w:r>
      <w:r w:rsidR="002431EF">
        <w:t xml:space="preserve"> “master link” </w:t>
      </w:r>
      <w:r w:rsidR="001A69B5">
        <w:t>among</w:t>
      </w:r>
      <w:r w:rsidR="000F54A2">
        <w:t xml:space="preserve"> the major transmission information domains of </w:t>
      </w:r>
      <w:r w:rsidR="004D3945">
        <w:t>(1) w</w:t>
      </w:r>
      <w:r w:rsidR="000F54A2">
        <w:t xml:space="preserve">ork </w:t>
      </w:r>
      <w:r w:rsidR="004D3945">
        <w:t>m</w:t>
      </w:r>
      <w:r w:rsidR="000F54A2">
        <w:t xml:space="preserve">anagement </w:t>
      </w:r>
      <w:r w:rsidR="00640CC7">
        <w:t>which focuses on assets</w:t>
      </w:r>
      <w:r w:rsidR="006B3DC1">
        <w:t xml:space="preserve">, </w:t>
      </w:r>
      <w:r w:rsidR="00640CC7">
        <w:t xml:space="preserve">(2) short and long term planning </w:t>
      </w:r>
      <w:r w:rsidR="00F03BE8">
        <w:t xml:space="preserve">as well as protection which focuses on </w:t>
      </w:r>
      <w:r w:rsidR="008E7271">
        <w:t xml:space="preserve">the </w:t>
      </w:r>
      <w:r w:rsidR="00F03BE8">
        <w:t xml:space="preserve">electrical </w:t>
      </w:r>
      <w:r w:rsidR="008E7271">
        <w:t>characteristics of the transmission system</w:t>
      </w:r>
      <w:r w:rsidR="00D46894">
        <w:t xml:space="preserve"> and (3)</w:t>
      </w:r>
      <w:r w:rsidR="00FD3B2D">
        <w:t xml:space="preserve"> operations </w:t>
      </w:r>
      <w:r w:rsidR="007D16AC">
        <w:t xml:space="preserve">which requires real-time awareness </w:t>
      </w:r>
      <w:r w:rsidR="009C13B0">
        <w:t xml:space="preserve">of </w:t>
      </w:r>
      <w:r w:rsidR="002C61F3">
        <w:t xml:space="preserve">the </w:t>
      </w:r>
      <w:r w:rsidR="004A48EA">
        <w:t xml:space="preserve">state </w:t>
      </w:r>
      <w:r w:rsidR="00B727D1">
        <w:t xml:space="preserve">of the system.  </w:t>
      </w:r>
      <w:r w:rsidR="004D7842">
        <w:t>Also s</w:t>
      </w:r>
      <w:r w:rsidR="002537EF">
        <w:t xml:space="preserve">hown in this figure are </w:t>
      </w:r>
      <w:r w:rsidR="00526A27">
        <w:t xml:space="preserve">the anchor information </w:t>
      </w:r>
      <w:r w:rsidR="001F6855">
        <w:t xml:space="preserve">systems </w:t>
      </w:r>
      <w:r w:rsidR="00E81912">
        <w:t>(</w:t>
      </w:r>
      <w:r w:rsidR="00E22183">
        <w:t xml:space="preserve">and </w:t>
      </w:r>
      <w:r w:rsidR="00FC03DE">
        <w:t>there may now be others</w:t>
      </w:r>
      <w:r w:rsidR="006B6481">
        <w:t xml:space="preserve">, </w:t>
      </w:r>
      <w:r w:rsidR="00197AE5">
        <w:t xml:space="preserve">e.g., </w:t>
      </w:r>
      <w:r w:rsidR="000358ED">
        <w:t>outage manageme</w:t>
      </w:r>
      <w:r w:rsidR="00033869">
        <w:t>nt</w:t>
      </w:r>
      <w:r w:rsidR="000358ED">
        <w:t xml:space="preserve">) </w:t>
      </w:r>
      <w:r w:rsidR="007074FF">
        <w:t xml:space="preserve">which must be drawn together to </w:t>
      </w:r>
      <w:r w:rsidR="004C67EA">
        <w:t xml:space="preserve">have full integration </w:t>
      </w:r>
      <w:r w:rsidR="00523C60">
        <w:t>among these</w:t>
      </w:r>
      <w:r w:rsidR="00AE6E5C">
        <w:t xml:space="preserve"> three</w:t>
      </w:r>
      <w:r w:rsidR="00523C60">
        <w:t xml:space="preserve"> information domains.</w:t>
      </w:r>
      <w:r w:rsidR="006920F6">
        <w:t xml:space="preserve">  </w:t>
      </w:r>
      <w:r w:rsidR="005D0BF1">
        <w:t>Purposely n</w:t>
      </w:r>
      <w:r w:rsidR="006920F6">
        <w:t xml:space="preserve">ot shown are other important dimensions to </w:t>
      </w:r>
      <w:r w:rsidR="001C3ACE">
        <w:t>information</w:t>
      </w:r>
      <w:r w:rsidR="00E40EE8">
        <w:t xml:space="preserve"> integration</w:t>
      </w:r>
      <w:r w:rsidR="001C3ACE">
        <w:t xml:space="preserve"> </w:t>
      </w:r>
      <w:r w:rsidR="004E46E1">
        <w:t>that are outside</w:t>
      </w:r>
      <w:r w:rsidR="0068681A">
        <w:t xml:space="preserve"> </w:t>
      </w:r>
      <w:r w:rsidR="004E46E1">
        <w:t xml:space="preserve">TPS&amp;S </w:t>
      </w:r>
      <w:r w:rsidR="0068681A">
        <w:t>functional control</w:t>
      </w:r>
      <w:r w:rsidR="00A335AA">
        <w:t>,</w:t>
      </w:r>
      <w:r w:rsidR="0068681A">
        <w:t xml:space="preserve"> </w:t>
      </w:r>
      <w:r w:rsidR="00F66D6E">
        <w:t xml:space="preserve">but which are important </w:t>
      </w:r>
      <w:r w:rsidR="00111945">
        <w:t>for</w:t>
      </w:r>
      <w:r w:rsidR="00F66D6E">
        <w:t xml:space="preserve"> full data integration</w:t>
      </w:r>
      <w:r w:rsidR="00F51A6B">
        <w:t xml:space="preserve"> </w:t>
      </w:r>
      <w:r w:rsidR="00847242">
        <w:t>such as GIS</w:t>
      </w:r>
      <w:r w:rsidR="00B57575">
        <w:t xml:space="preserve"> and </w:t>
      </w:r>
      <w:r w:rsidR="009847BB">
        <w:t>Document Management.</w:t>
      </w:r>
    </w:p>
    <w:p w14:paraId="677CD76B" w14:textId="1DEA90EA" w:rsidR="0053472B" w:rsidRDefault="00FF2C9B" w:rsidP="006069AE">
      <w:pPr>
        <w:pStyle w:val="Body"/>
      </w:pPr>
      <w:r>
        <w:t xml:space="preserve">While </w:t>
      </w:r>
      <w:r w:rsidR="00C67E19">
        <w:t xml:space="preserve">we understand that </w:t>
      </w:r>
      <w:r>
        <w:t xml:space="preserve">the </w:t>
      </w:r>
      <w:r w:rsidR="00622D16">
        <w:t>TPS</w:t>
      </w:r>
      <w:r w:rsidR="00E445E2">
        <w:t>-</w:t>
      </w:r>
      <w:r w:rsidR="00622D16">
        <w:t xml:space="preserve">IM </w:t>
      </w:r>
      <w:r>
        <w:t xml:space="preserve">vision of 2005 has not been </w:t>
      </w:r>
      <w:r w:rsidR="001A4B71">
        <w:t>fully implement</w:t>
      </w:r>
      <w:r w:rsidR="00B47632">
        <w:t>ed</w:t>
      </w:r>
      <w:r w:rsidR="001A4B71">
        <w:t xml:space="preserve">, </w:t>
      </w:r>
      <w:r w:rsidR="005E3ACE">
        <w:t xml:space="preserve">GPA believes that the </w:t>
      </w:r>
      <w:r>
        <w:t xml:space="preserve">functionality provided by </w:t>
      </w:r>
      <w:r w:rsidR="006450BC">
        <w:t>those parts of TPS</w:t>
      </w:r>
      <w:r w:rsidR="00F34A5A">
        <w:t>-</w:t>
      </w:r>
      <w:r w:rsidR="006450BC">
        <w:t xml:space="preserve">IM that have been implemented </w:t>
      </w:r>
      <w:r w:rsidR="00BE430A">
        <w:t xml:space="preserve">within </w:t>
      </w:r>
      <w:r w:rsidR="006B7FD7">
        <w:t xml:space="preserve">TPS&amp;S </w:t>
      </w:r>
      <w:r w:rsidR="007D70E6">
        <w:t xml:space="preserve">provides a major jump start </w:t>
      </w:r>
      <w:r w:rsidR="00E274FF">
        <w:t xml:space="preserve">to </w:t>
      </w:r>
      <w:r w:rsidR="00F406AB">
        <w:t xml:space="preserve">the </w:t>
      </w:r>
      <w:r w:rsidR="004970B3">
        <w:t>asset data aggregation</w:t>
      </w:r>
      <w:r w:rsidR="00506F8C">
        <w:t xml:space="preserve"> requested by this RFP</w:t>
      </w:r>
      <w:r w:rsidR="000655E5">
        <w:t xml:space="preserve">.  </w:t>
      </w:r>
      <w:r w:rsidR="003A587B">
        <w:t xml:space="preserve">We think that </w:t>
      </w:r>
      <w:r w:rsidR="00F406AB">
        <w:t>TVA’s experience over</w:t>
      </w:r>
      <w:r w:rsidR="00503035">
        <w:t xml:space="preserve"> last </w:t>
      </w:r>
      <w:r w:rsidR="001A69B5">
        <w:t xml:space="preserve">the </w:t>
      </w:r>
      <w:r w:rsidR="00503035">
        <w:t>15 years of maintaining TPS</w:t>
      </w:r>
      <w:r w:rsidR="00F34A5A">
        <w:t>-</w:t>
      </w:r>
      <w:r w:rsidR="00503035">
        <w:t>IM</w:t>
      </w:r>
      <w:r w:rsidR="006069AE">
        <w:t xml:space="preserve"> </w:t>
      </w:r>
      <w:r w:rsidR="00607C92">
        <w:t xml:space="preserve">also </w:t>
      </w:r>
      <w:r w:rsidR="006069AE">
        <w:t xml:space="preserve">provides </w:t>
      </w:r>
      <w:r w:rsidR="00CE487B">
        <w:t>t</w:t>
      </w:r>
      <w:r w:rsidR="00254387">
        <w:t>he Transmission APC with</w:t>
      </w:r>
      <w:r w:rsidR="00CE487B">
        <w:t xml:space="preserve"> </w:t>
      </w:r>
      <w:r w:rsidR="006069AE">
        <w:t>a</w:t>
      </w:r>
      <w:r w:rsidR="00ED4418">
        <w:t xml:space="preserve"> relevant and important </w:t>
      </w:r>
      <w:r w:rsidR="00DD5710">
        <w:t xml:space="preserve">case study </w:t>
      </w:r>
      <w:r w:rsidR="00CE487B">
        <w:t xml:space="preserve">for </w:t>
      </w:r>
      <w:r w:rsidR="0036148F">
        <w:t>asset data integration</w:t>
      </w:r>
      <w:r w:rsidR="00692583">
        <w:t>.  It’s o</w:t>
      </w:r>
      <w:r w:rsidR="000843D8">
        <w:t xml:space="preserve">ften </w:t>
      </w:r>
      <w:r w:rsidR="00692583">
        <w:t xml:space="preserve">said that </w:t>
      </w:r>
      <w:r w:rsidR="00AE34A2">
        <w:t>initially connecting systems is</w:t>
      </w:r>
      <w:r w:rsidR="00692583">
        <w:t xml:space="preserve"> </w:t>
      </w:r>
      <w:r w:rsidR="00D94493">
        <w:t>“</w:t>
      </w:r>
      <w:r w:rsidR="00692583">
        <w:t>just a little hard work</w:t>
      </w:r>
      <w:r w:rsidR="00D94493">
        <w:t>”</w:t>
      </w:r>
      <w:r w:rsidR="00242A3F">
        <w:t xml:space="preserve"> – and we think this i</w:t>
      </w:r>
      <w:r w:rsidR="00AF790A">
        <w:t>s</w:t>
      </w:r>
      <w:r w:rsidR="00242A3F">
        <w:t xml:space="preserve"> true.</w:t>
      </w:r>
      <w:r w:rsidR="00334E7E">
        <w:t xml:space="preserve">  </w:t>
      </w:r>
      <w:r w:rsidR="008F473D">
        <w:t xml:space="preserve">However, </w:t>
      </w:r>
      <w:r w:rsidR="00873F99">
        <w:t xml:space="preserve">the </w:t>
      </w:r>
      <w:r w:rsidR="00DC1A41">
        <w:t>day-to-day maintenance</w:t>
      </w:r>
      <w:r w:rsidR="00873F99">
        <w:t xml:space="preserve"> that</w:t>
      </w:r>
      <w:r w:rsidR="003C2493">
        <w:t xml:space="preserve"> </w:t>
      </w:r>
      <w:r w:rsidR="00852BF8">
        <w:t xml:space="preserve">is </w:t>
      </w:r>
      <w:r w:rsidR="00DC1A41">
        <w:t>required to</w:t>
      </w:r>
      <w:r w:rsidR="00873F99">
        <w:t xml:space="preserve"> assure</w:t>
      </w:r>
      <w:r w:rsidR="00DC1A41">
        <w:t xml:space="preserve"> t</w:t>
      </w:r>
      <w:r w:rsidR="00A174CC">
        <w:t xml:space="preserve">hat </w:t>
      </w:r>
      <w:r w:rsidR="008E4E67">
        <w:t xml:space="preserve">these link tables are up to date </w:t>
      </w:r>
      <w:r w:rsidR="00C66DAC">
        <w:t>is often difficult to manage</w:t>
      </w:r>
      <w:r w:rsidR="00997311">
        <w:t xml:space="preserve"> as new assets come into service </w:t>
      </w:r>
      <w:r w:rsidR="00CE70EF">
        <w:t>and</w:t>
      </w:r>
      <w:r w:rsidR="00997311">
        <w:t xml:space="preserve"> as old assets are retired</w:t>
      </w:r>
      <w:r w:rsidR="00C55882">
        <w:t>.</w:t>
      </w:r>
    </w:p>
    <w:p w14:paraId="25C2B322" w14:textId="20341D17" w:rsidR="00F33E97" w:rsidRDefault="00F33E97" w:rsidP="006069AE">
      <w:pPr>
        <w:pStyle w:val="Body"/>
      </w:pPr>
      <w:r>
        <w:t>Having a common location to maintain these master links</w:t>
      </w:r>
      <w:r w:rsidR="00B8403D">
        <w:t xml:space="preserve"> like T</w:t>
      </w:r>
      <w:r w:rsidR="00D6271D">
        <w:t>PS-</w:t>
      </w:r>
      <w:r w:rsidR="00B8403D">
        <w:t>IM</w:t>
      </w:r>
      <w:r>
        <w:t xml:space="preserve"> </w:t>
      </w:r>
      <w:r w:rsidR="00257CF3">
        <w:t xml:space="preserve">assures that TPS&amp;S only has to maintain these </w:t>
      </w:r>
      <w:r w:rsidR="00216CEF">
        <w:t>links once – and not multiple times for multiple systems.</w:t>
      </w:r>
    </w:p>
    <w:p w14:paraId="0EFD8681" w14:textId="77777777" w:rsidR="00C55882" w:rsidRDefault="00C55882" w:rsidP="00080844"/>
    <w:p w14:paraId="2CFF8139" w14:textId="77777777" w:rsidR="00C2063A" w:rsidRDefault="0053472B" w:rsidP="00C2063A">
      <w:pPr>
        <w:pStyle w:val="figure"/>
      </w:pPr>
      <w:r>
        <w:drawing>
          <wp:inline distT="0" distB="0" distL="0" distR="0" wp14:anchorId="161A3B93" wp14:editId="453677C8">
            <wp:extent cx="4591050" cy="292520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7999" cy="2929628"/>
                    </a:xfrm>
                    <a:prstGeom prst="rect">
                      <a:avLst/>
                    </a:prstGeom>
                    <a:noFill/>
                    <a:ln>
                      <a:noFill/>
                    </a:ln>
                  </pic:spPr>
                </pic:pic>
              </a:graphicData>
            </a:graphic>
          </wp:inline>
        </w:drawing>
      </w:r>
    </w:p>
    <w:p w14:paraId="3BAF6CE9" w14:textId="518649A3" w:rsidR="00080844" w:rsidRDefault="00FF1621" w:rsidP="0053472B">
      <w:pPr>
        <w:pStyle w:val="FigureDesc"/>
      </w:pPr>
      <w:r>
        <w:t>The TPS Informa</w:t>
      </w:r>
      <w:r w:rsidR="001A69B5">
        <w:t>tion</w:t>
      </w:r>
      <w:r>
        <w:t xml:space="preserve"> </w:t>
      </w:r>
      <w:r w:rsidR="00A546C6">
        <w:t xml:space="preserve">Model Draws Data </w:t>
      </w:r>
      <w:r w:rsidR="00C2063A">
        <w:t xml:space="preserve">Together </w:t>
      </w:r>
      <w:r w:rsidR="008A3337">
        <w:t xml:space="preserve">Across </w:t>
      </w:r>
      <w:r w:rsidR="000F30A8">
        <w:t>Trans</w:t>
      </w:r>
      <w:r w:rsidR="001A69B5">
        <w:t xml:space="preserve">mission </w:t>
      </w:r>
      <w:r w:rsidR="00C2063A">
        <w:t>Domains</w:t>
      </w:r>
    </w:p>
    <w:p w14:paraId="53F20C2C" w14:textId="77777777" w:rsidR="00080844" w:rsidRDefault="00080844" w:rsidP="00080844"/>
    <w:p w14:paraId="7A1DEE9D" w14:textId="51A88184" w:rsidR="00080844" w:rsidRDefault="00080844">
      <w:r>
        <w:br w:type="page"/>
      </w:r>
    </w:p>
    <w:p w14:paraId="03A412DE" w14:textId="71AF6348" w:rsidR="00C02B12" w:rsidRPr="006D57B9" w:rsidRDefault="008207E1" w:rsidP="008207E1">
      <w:pPr>
        <w:pStyle w:val="Heading2"/>
      </w:pPr>
      <w:bookmarkStart w:id="46" w:name="_Toc490482086"/>
      <w:bookmarkStart w:id="47" w:name="_Toc31377131"/>
      <w:r>
        <w:lastRenderedPageBreak/>
        <w:t>A</w:t>
      </w:r>
      <w:r w:rsidR="006711E1">
        <w:t xml:space="preserve">ppendix </w:t>
      </w:r>
      <w:r w:rsidR="00EB422D">
        <w:t>G</w:t>
      </w:r>
      <w:r w:rsidR="00080844">
        <w:t xml:space="preserve">: </w:t>
      </w:r>
      <w:r w:rsidR="00C02B12">
        <w:t>GPA</w:t>
      </w:r>
      <w:r w:rsidR="00080844">
        <w:t xml:space="preserve"> Standard</w:t>
      </w:r>
      <w:r w:rsidR="00C02B12">
        <w:t xml:space="preserve"> </w:t>
      </w:r>
      <w:r w:rsidR="00E97094">
        <w:t xml:space="preserve">Annual </w:t>
      </w:r>
      <w:r w:rsidR="00C02B12">
        <w:t>Maintenance Services</w:t>
      </w:r>
      <w:bookmarkEnd w:id="46"/>
      <w:bookmarkEnd w:id="47"/>
    </w:p>
    <w:p w14:paraId="48747144" w14:textId="77777777" w:rsidR="00C02B12" w:rsidRPr="001009F3" w:rsidRDefault="00C02B12" w:rsidP="00C02B12">
      <w:pPr>
        <w:pStyle w:val="Body"/>
        <w:ind w:right="-450"/>
      </w:pPr>
      <w:r>
        <w:t xml:space="preserve">With an annual product maintenance agreement, GPA agrees to: </w:t>
      </w:r>
    </w:p>
    <w:p w14:paraId="362A1465" w14:textId="77777777" w:rsidR="00C02B12" w:rsidRDefault="00C02B12" w:rsidP="00C02B12">
      <w:pPr>
        <w:pStyle w:val="Body"/>
        <w:numPr>
          <w:ilvl w:val="0"/>
          <w:numId w:val="20"/>
        </w:numPr>
        <w:spacing w:line="200" w:lineRule="atLeast"/>
        <w:ind w:right="-450"/>
        <w:jc w:val="left"/>
      </w:pPr>
      <w:r>
        <w:t>Provide support for any number of product installations to support centralized or control center operations, including test and acceptance instances of the product at multiple data center or control center locations.</w:t>
      </w:r>
    </w:p>
    <w:p w14:paraId="075D469A" w14:textId="77777777" w:rsidR="00C02B12" w:rsidRDefault="00C02B12" w:rsidP="00C02B12">
      <w:pPr>
        <w:pStyle w:val="Body"/>
        <w:numPr>
          <w:ilvl w:val="0"/>
          <w:numId w:val="20"/>
        </w:numPr>
        <w:spacing w:line="200" w:lineRule="atLeast"/>
        <w:ind w:right="-450"/>
        <w:jc w:val="left"/>
      </w:pPr>
      <w:r>
        <w:t>Provide notice of significant bug fixes and new product releases.</w:t>
      </w:r>
    </w:p>
    <w:p w14:paraId="206A489B" w14:textId="77777777" w:rsidR="00C02B12" w:rsidRDefault="00C02B12" w:rsidP="00C02B12">
      <w:pPr>
        <w:pStyle w:val="Body"/>
        <w:numPr>
          <w:ilvl w:val="0"/>
          <w:numId w:val="20"/>
        </w:numPr>
        <w:spacing w:line="200" w:lineRule="atLeast"/>
        <w:ind w:right="-450"/>
        <w:jc w:val="left"/>
      </w:pPr>
      <w:r>
        <w:t>Provide support for the application of patches or the migration to new versions of the product.</w:t>
      </w:r>
    </w:p>
    <w:p w14:paraId="287020CD" w14:textId="77777777" w:rsidR="00C02B12" w:rsidRDefault="00C02B12" w:rsidP="00C02B12">
      <w:pPr>
        <w:pStyle w:val="Body"/>
        <w:numPr>
          <w:ilvl w:val="0"/>
          <w:numId w:val="20"/>
        </w:numPr>
        <w:spacing w:line="200" w:lineRule="atLeast"/>
        <w:ind w:right="-450"/>
        <w:jc w:val="left"/>
      </w:pPr>
      <w:r>
        <w:t>Make GPA staff available for consultation and problem resolution.</w:t>
      </w:r>
    </w:p>
    <w:p w14:paraId="70A71EAE" w14:textId="77777777" w:rsidR="00C02B12" w:rsidRDefault="00C02B12" w:rsidP="00C02B12">
      <w:pPr>
        <w:pStyle w:val="Body"/>
        <w:numPr>
          <w:ilvl w:val="0"/>
          <w:numId w:val="20"/>
        </w:numPr>
        <w:spacing w:line="200" w:lineRule="atLeast"/>
        <w:ind w:right="-450"/>
        <w:jc w:val="left"/>
      </w:pPr>
      <w:r>
        <w:t xml:space="preserve">Provide access to a private, problem-reporting web site (separate from GPA's public, </w:t>
      </w:r>
      <w:r w:rsidR="00BA17B5">
        <w:t>open-source</w:t>
      </w:r>
      <w:r>
        <w:t xml:space="preserve"> problem reporting) to open maintenance tasks and allow tracking of these tasks to completion.</w:t>
      </w:r>
    </w:p>
    <w:p w14:paraId="5650DA9E" w14:textId="77777777" w:rsidR="00C02B12" w:rsidRDefault="00C02B12" w:rsidP="00C02B12">
      <w:pPr>
        <w:pStyle w:val="Body"/>
        <w:numPr>
          <w:ilvl w:val="0"/>
          <w:numId w:val="20"/>
        </w:numPr>
        <w:spacing w:line="200" w:lineRule="atLeast"/>
        <w:ind w:right="-450"/>
        <w:jc w:val="left"/>
      </w:pPr>
      <w:r>
        <w:t>Establish a process to escalate problem resolution, should it be necessary.</w:t>
      </w:r>
    </w:p>
    <w:p w14:paraId="76DFBE54" w14:textId="77777777" w:rsidR="00C02B12" w:rsidRDefault="00C02B12" w:rsidP="00C02B12">
      <w:pPr>
        <w:pStyle w:val="Body"/>
        <w:numPr>
          <w:ilvl w:val="0"/>
          <w:numId w:val="20"/>
        </w:numPr>
        <w:spacing w:line="200" w:lineRule="atLeast"/>
        <w:ind w:right="-450"/>
        <w:jc w:val="left"/>
      </w:pPr>
      <w:r>
        <w:t>Grant the maintenance contract owner a priority voice in establishing a ranking list for new features to be included in subsequent product releases.</w:t>
      </w:r>
    </w:p>
    <w:p w14:paraId="0095A20B" w14:textId="5432976E" w:rsidR="00C02B12" w:rsidRDefault="00C02B12" w:rsidP="002131A7">
      <w:pPr>
        <w:pStyle w:val="Body"/>
        <w:spacing w:line="200" w:lineRule="atLeast"/>
        <w:ind w:left="720" w:right="-450"/>
        <w:jc w:val="left"/>
      </w:pPr>
      <w:r w:rsidRPr="00DE1FBA">
        <w:t xml:space="preserve"> </w:t>
      </w:r>
    </w:p>
    <w:p w14:paraId="0776277D" w14:textId="77777777" w:rsidR="00C02B12" w:rsidRPr="000A5821" w:rsidRDefault="00C02B12" w:rsidP="005C32EB">
      <w:pPr>
        <w:pStyle w:val="Heading4"/>
      </w:pPr>
      <w:r w:rsidRPr="000A5821">
        <w:t>Business Day Support (</w:t>
      </w:r>
      <w:r w:rsidR="00525999">
        <w:t>10 hours x 5 days</w:t>
      </w:r>
      <w:r w:rsidRPr="000A5821">
        <w:t>)</w:t>
      </w:r>
    </w:p>
    <w:p w14:paraId="5AD58F52" w14:textId="77777777" w:rsidR="00C02B12" w:rsidRPr="005F41DC" w:rsidRDefault="00C02B12" w:rsidP="00C02B12">
      <w:pPr>
        <w:pStyle w:val="Body"/>
        <w:numPr>
          <w:ilvl w:val="0"/>
          <w:numId w:val="21"/>
        </w:numPr>
        <w:spacing w:line="200" w:lineRule="atLeast"/>
        <w:ind w:right="-450"/>
        <w:jc w:val="left"/>
        <w:rPr>
          <w:b/>
        </w:rPr>
      </w:pPr>
      <w:r w:rsidRPr="005F41DC">
        <w:t>GPA pe</w:t>
      </w:r>
      <w:r>
        <w:t>rsonnel will be available for e-</w:t>
      </w:r>
      <w:r w:rsidRPr="005F41DC">
        <w:t xml:space="preserve">mail and </w:t>
      </w:r>
      <w:r>
        <w:t>tele</w:t>
      </w:r>
      <w:r w:rsidRPr="005F41DC">
        <w:t xml:space="preserve">phone support during normal GPA business hours which are Monday through </w:t>
      </w:r>
      <w:r>
        <w:t xml:space="preserve">Friday, 8:00 a.m. </w:t>
      </w:r>
      <w:r w:rsidRPr="005F41DC">
        <w:t>until 6</w:t>
      </w:r>
      <w:r>
        <w:t>:00 p.m., eastern t</w:t>
      </w:r>
      <w:r w:rsidRPr="005F41DC">
        <w:t>ime</w:t>
      </w:r>
      <w:r>
        <w:t>,</w:t>
      </w:r>
      <w:r w:rsidRPr="005F41DC">
        <w:t xml:space="preserve"> with the exclusion of six holidays -- New Year’s Day, Memorial Day, Fourth of July, Labor Day, Thanksgiving</w:t>
      </w:r>
      <w:r>
        <w:t>,</w:t>
      </w:r>
      <w:r w:rsidRPr="005F41DC">
        <w:t xml:space="preserve"> and Christmas.</w:t>
      </w:r>
    </w:p>
    <w:p w14:paraId="4DE828DF" w14:textId="77777777" w:rsidR="00C02B12" w:rsidRDefault="00C02B12" w:rsidP="00C02B12">
      <w:pPr>
        <w:pStyle w:val="Body"/>
        <w:numPr>
          <w:ilvl w:val="0"/>
          <w:numId w:val="21"/>
        </w:numPr>
        <w:spacing w:line="200" w:lineRule="atLeast"/>
        <w:ind w:right="-450"/>
        <w:jc w:val="left"/>
      </w:pPr>
      <w:r w:rsidRPr="005F41DC">
        <w:t>During GPA business hours, GPA on-call staff will respon</w:t>
      </w:r>
      <w:r>
        <w:t xml:space="preserve">d immediately, whenever possible; </w:t>
      </w:r>
      <w:r w:rsidRPr="005F41DC">
        <w:t>but</w:t>
      </w:r>
      <w:r>
        <w:t>,</w:t>
      </w:r>
      <w:r w:rsidRPr="005F41DC">
        <w:t xml:space="preserve"> in any even</w:t>
      </w:r>
      <w:r>
        <w:t>t, GPA staff will reply within 30 minutes</w:t>
      </w:r>
      <w:r w:rsidRPr="005F41DC">
        <w:t xml:space="preserve"> by </w:t>
      </w:r>
      <w:r>
        <w:t>telephone call or</w:t>
      </w:r>
      <w:r>
        <w:br/>
        <w:t>e-mail</w:t>
      </w:r>
      <w:r w:rsidRPr="005F41DC">
        <w:t xml:space="preserve"> to acknowled</w:t>
      </w:r>
      <w:r>
        <w:t>ge receipt of a support request and initiation of work on the issue.</w:t>
      </w:r>
    </w:p>
    <w:p w14:paraId="5E74E0B5" w14:textId="33E8367F" w:rsidR="00C02B12" w:rsidRDefault="00C02B12" w:rsidP="00C02B12">
      <w:pPr>
        <w:pStyle w:val="Body"/>
        <w:numPr>
          <w:ilvl w:val="0"/>
          <w:numId w:val="21"/>
        </w:numPr>
        <w:spacing w:line="200" w:lineRule="atLeast"/>
        <w:ind w:right="-450"/>
        <w:jc w:val="left"/>
      </w:pPr>
      <w:r>
        <w:t>A 24 hours x 7 days support telephone number will be provided for hours outside of those covered by the 10 hours x 5 days maintenance services.  GPA will endeavor to provide this after-business-hours support (subject to the availability of GPA personnel) at 150 percent of GPA’s standard consulting rates with a 4-hour minimum charge.</w:t>
      </w:r>
    </w:p>
    <w:p w14:paraId="6E7F7050" w14:textId="77777777" w:rsidR="002131A7" w:rsidRDefault="002131A7" w:rsidP="002131A7">
      <w:pPr>
        <w:pStyle w:val="Body"/>
        <w:spacing w:line="200" w:lineRule="atLeast"/>
        <w:ind w:left="720" w:right="-450"/>
        <w:jc w:val="left"/>
      </w:pPr>
    </w:p>
    <w:p w14:paraId="44DD5699" w14:textId="77777777" w:rsidR="00C02B12" w:rsidRPr="000A5821" w:rsidRDefault="00C02B12" w:rsidP="005C32EB">
      <w:pPr>
        <w:pStyle w:val="Heading4"/>
      </w:pPr>
      <w:r>
        <w:t>Full Time Support (24</w:t>
      </w:r>
      <w:r w:rsidR="00525999">
        <w:t xml:space="preserve"> hours </w:t>
      </w:r>
      <w:r>
        <w:t>x</w:t>
      </w:r>
      <w:r w:rsidR="00525999">
        <w:t xml:space="preserve"> </w:t>
      </w:r>
      <w:r>
        <w:t>7</w:t>
      </w:r>
      <w:r w:rsidR="00525999">
        <w:t> days</w:t>
      </w:r>
      <w:r w:rsidRPr="000A5821">
        <w:t>)</w:t>
      </w:r>
    </w:p>
    <w:p w14:paraId="7A4FF30F" w14:textId="77777777" w:rsidR="00C02B12" w:rsidRDefault="00C02B12" w:rsidP="00C02B12">
      <w:pPr>
        <w:pStyle w:val="Body"/>
        <w:numPr>
          <w:ilvl w:val="0"/>
          <w:numId w:val="21"/>
        </w:numPr>
        <w:spacing w:line="200" w:lineRule="atLeast"/>
        <w:ind w:right="-450"/>
        <w:jc w:val="left"/>
      </w:pPr>
      <w:r>
        <w:t>Includes all GPA Business Day Support services.</w:t>
      </w:r>
    </w:p>
    <w:p w14:paraId="682C9197" w14:textId="77777777" w:rsidR="00C02B12" w:rsidRDefault="00C02B12" w:rsidP="00C02B12">
      <w:pPr>
        <w:pStyle w:val="Body"/>
        <w:numPr>
          <w:ilvl w:val="0"/>
          <w:numId w:val="21"/>
        </w:numPr>
        <w:spacing w:line="200" w:lineRule="atLeast"/>
        <w:ind w:right="-450"/>
        <w:jc w:val="left"/>
      </w:pPr>
      <w:r>
        <w:t>Additionally, GPA personnel will be available 24</w:t>
      </w:r>
      <w:r w:rsidR="00525999">
        <w:t xml:space="preserve"> hours </w:t>
      </w:r>
      <w:r>
        <w:t>x</w:t>
      </w:r>
      <w:r w:rsidR="00525999">
        <w:t xml:space="preserve"> </w:t>
      </w:r>
      <w:r>
        <w:t>365</w:t>
      </w:r>
      <w:r w:rsidR="00525999">
        <w:t> days</w:t>
      </w:r>
      <w:r>
        <w:t xml:space="preserve"> via a direct mobile number and will respond within 15 minutes.  Problem investigation will begin immediately.</w:t>
      </w:r>
      <w:bookmarkEnd w:id="33"/>
    </w:p>
    <w:sectPr w:rsidR="00C02B12" w:rsidSect="00B77536">
      <w:headerReference w:type="default" r:id="rId60"/>
      <w:footerReference w:type="default" r:id="rId61"/>
      <w:pgSz w:w="12240" w:h="15840" w:code="1"/>
      <w:pgMar w:top="1987" w:right="1800" w:bottom="1267" w:left="1800" w:header="288" w:footer="288" w:gutter="0"/>
      <w:pgBorders w:offsetFrom="page">
        <w:top w:val="single" w:sz="8" w:space="24" w:color="595959" w:themeColor="text1" w:themeTint="A6"/>
        <w:left w:val="single" w:sz="8" w:space="24" w:color="595959" w:themeColor="text1" w:themeTint="A6"/>
        <w:bottom w:val="single" w:sz="8" w:space="24" w:color="595959" w:themeColor="text1" w:themeTint="A6"/>
        <w:right w:val="single" w:sz="8" w:space="24" w:color="595959" w:themeColor="text1" w:themeTint="A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DABEF" w14:textId="77777777" w:rsidR="00786B96" w:rsidRDefault="00786B96" w:rsidP="00FB0A6A">
      <w:r>
        <w:separator/>
      </w:r>
    </w:p>
  </w:endnote>
  <w:endnote w:type="continuationSeparator" w:id="0">
    <w:p w14:paraId="0531C5A0" w14:textId="77777777" w:rsidR="00786B96" w:rsidRDefault="00786B96" w:rsidP="00FB0A6A">
      <w:r>
        <w:continuationSeparator/>
      </w:r>
    </w:p>
  </w:endnote>
  <w:endnote w:type="continuationNotice" w:id="1">
    <w:p w14:paraId="3924AF09" w14:textId="77777777" w:rsidR="00786B96" w:rsidRDefault="00786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No4CyrTCYLig">
    <w:altName w:val="Courier New"/>
    <w:panose1 w:val="07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6D92F" w14:textId="77777777" w:rsidR="00786B96" w:rsidRDefault="00786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FF9FB" w14:textId="2C16DE1B" w:rsidR="00786B96" w:rsidRPr="00E64353" w:rsidRDefault="00786B96" w:rsidP="00E64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22B0" w14:textId="45894E72" w:rsidR="00786B96" w:rsidRPr="00BE2A98" w:rsidRDefault="00786B96" w:rsidP="00BE2A98">
    <w:pPr>
      <w:ind w:left="-540" w:right="-540"/>
      <w:jc w:val="center"/>
      <w:rPr>
        <w:rStyle w:val="Strong"/>
        <w:sz w:val="20"/>
        <w:szCs w:val="20"/>
      </w:rPr>
    </w:pPr>
    <w:r w:rsidRPr="00BE2A98">
      <w:rPr>
        <w:rStyle w:val="Strong"/>
        <w:sz w:val="20"/>
        <w:szCs w:val="20"/>
      </w:rPr>
      <w:t xml:space="preserve">1206 Broad Street, Chattanooga, TN 37402  </w:t>
    </w:r>
    <w:proofErr w:type="gramStart"/>
    <w:r w:rsidRPr="00BE2A98">
      <w:rPr>
        <w:rStyle w:val="Strong"/>
        <w:sz w:val="20"/>
        <w:szCs w:val="20"/>
      </w:rPr>
      <w:t xml:space="preserve">   (</w:t>
    </w:r>
    <w:proofErr w:type="gramEnd"/>
    <w:r w:rsidRPr="00BE2A98">
      <w:rPr>
        <w:rStyle w:val="Strong"/>
        <w:sz w:val="20"/>
        <w:szCs w:val="20"/>
      </w:rPr>
      <w:t>423) 702-8136    www.gridprotectionalliance.org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4EA9" w14:textId="77777777" w:rsidR="00786B96" w:rsidRPr="00D9321F" w:rsidRDefault="00786B96" w:rsidP="00D932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3009" w14:textId="77777777" w:rsidR="00786B96" w:rsidRDefault="00786B96" w:rsidP="00680A92">
    <w:pPr>
      <w:pStyle w:val="Body"/>
      <w:spacing w:after="0" w:line="240" w:lineRule="auto"/>
      <w:ind w:left="-720"/>
      <w:jc w:val="left"/>
      <w:rPr>
        <w:sz w:val="16"/>
        <w:szCs w:val="16"/>
      </w:rPr>
    </w:pPr>
    <w:r>
      <w:rPr>
        <w:sz w:val="16"/>
        <w:szCs w:val="16"/>
      </w:rPr>
      <w:t>Copyright © 2020, Grid Protection Alliance</w:t>
    </w:r>
  </w:p>
  <w:p w14:paraId="31628C42" w14:textId="77777777" w:rsidR="00786B96" w:rsidRPr="00BE2A98" w:rsidRDefault="00786B96" w:rsidP="00BE2A98">
    <w:pPr>
      <w:pStyle w:val="Body"/>
      <w:spacing w:after="0" w:line="240" w:lineRule="auto"/>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CA306" w14:textId="42B2E8E9" w:rsidR="00786B96" w:rsidRPr="00882A3F" w:rsidRDefault="00786B96" w:rsidP="00B77536">
    <w:pPr>
      <w:pStyle w:val="Footer"/>
      <w:rPr>
        <w:sz w:val="16"/>
        <w:szCs w:val="16"/>
      </w:rPr>
    </w:pPr>
    <w:r>
      <w:rPr>
        <w:sz w:val="16"/>
        <w:szCs w:val="16"/>
      </w:rPr>
      <w:t>Copyright © 2020, Grid Protection Alliance</w:t>
    </w:r>
    <w:r>
      <w:rPr>
        <w:sz w:val="18"/>
        <w:szCs w:val="18"/>
      </w:rPr>
      <w:tab/>
    </w:r>
    <w:r>
      <w:rPr>
        <w:sz w:val="18"/>
        <w:szCs w:val="18"/>
      </w:rPr>
      <w:tab/>
    </w:r>
    <w:r>
      <w:rPr>
        <w:rFonts w:ascii="GaramondNo4CyrTCYLig" w:hAnsi="GaramondNo4CyrTCYLig"/>
        <w:sz w:val="18"/>
        <w:szCs w:val="18"/>
      </w:rPr>
      <w:t xml:space="preserve"> </w:t>
    </w:r>
    <w:r w:rsidRPr="00B877B3">
      <w:rPr>
        <w:rFonts w:ascii="GaramondNo4CyrTCYLig" w:hAnsi="GaramondNo4CyrTCYLig"/>
        <w:sz w:val="18"/>
        <w:szCs w:val="18"/>
      </w:rPr>
      <w:t xml:space="preserve"> </w:t>
    </w:r>
    <w:r>
      <w:rPr>
        <w:rFonts w:ascii="GaramondNo4CyrTCYLig" w:hAnsi="GaramondNo4CyrTCYLig"/>
        <w:sz w:val="18"/>
        <w:szCs w:val="18"/>
      </w:rPr>
      <w:t xml:space="preserve">  </w:t>
    </w:r>
    <w:r w:rsidRPr="00B877B3">
      <w:rPr>
        <w:rFonts w:ascii="Arial" w:hAnsi="Arial" w:cs="Arial"/>
        <w:b/>
      </w:rPr>
      <w:fldChar w:fldCharType="begin"/>
    </w:r>
    <w:r w:rsidRPr="00B877B3">
      <w:rPr>
        <w:rFonts w:ascii="Arial" w:hAnsi="Arial" w:cs="Arial"/>
        <w:b/>
      </w:rPr>
      <w:instrText xml:space="preserve"> PAGE   \* MERGEFORMAT </w:instrText>
    </w:r>
    <w:r w:rsidRPr="00B877B3">
      <w:rPr>
        <w:rFonts w:ascii="Arial" w:hAnsi="Arial" w:cs="Arial"/>
        <w:b/>
      </w:rPr>
      <w:fldChar w:fldCharType="separate"/>
    </w:r>
    <w:r>
      <w:rPr>
        <w:rFonts w:ascii="Arial" w:hAnsi="Arial" w:cs="Arial"/>
        <w:b/>
      </w:rPr>
      <w:t>1</w:t>
    </w:r>
    <w:r w:rsidRPr="00B877B3">
      <w:rPr>
        <w:rFonts w:ascii="Arial" w:hAnsi="Arial" w:cs="Arial"/>
        <w:b/>
      </w:rPr>
      <w:fldChar w:fldCharType="end"/>
    </w:r>
  </w:p>
  <w:p w14:paraId="4926FF8F" w14:textId="77777777" w:rsidR="00786B96" w:rsidRDefault="00786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DD276" w14:textId="77777777" w:rsidR="00786B96" w:rsidRDefault="00786B96" w:rsidP="00FB0A6A">
      <w:bookmarkStart w:id="0" w:name="_Hlk27548396"/>
      <w:bookmarkEnd w:id="0"/>
      <w:r>
        <w:separator/>
      </w:r>
    </w:p>
  </w:footnote>
  <w:footnote w:type="continuationSeparator" w:id="0">
    <w:p w14:paraId="6C7408AC" w14:textId="77777777" w:rsidR="00786B96" w:rsidRDefault="00786B96" w:rsidP="00FB0A6A">
      <w:r>
        <w:continuationSeparator/>
      </w:r>
    </w:p>
  </w:footnote>
  <w:footnote w:type="continuationNotice" w:id="1">
    <w:p w14:paraId="7F422EAF" w14:textId="77777777" w:rsidR="00786B96" w:rsidRDefault="00786B96"/>
  </w:footnote>
  <w:footnote w:id="2">
    <w:p w14:paraId="12CE7C59" w14:textId="5684EB19" w:rsidR="00786B96" w:rsidRDefault="00786B96" w:rsidP="00E30DE8">
      <w:pPr>
        <w:pStyle w:val="FootnoteText"/>
      </w:pPr>
      <w:r>
        <w:rPr>
          <w:rStyle w:val="FootnoteReference"/>
        </w:rPr>
        <w:footnoteRef/>
      </w:r>
      <w:r>
        <w:t xml:space="preserve"> Under the MIT license, TVA has flexible rights to use GPA OSS software in any manner TVA may choose – including creation of derivate products in partnership with other vendors.</w:t>
      </w:r>
    </w:p>
  </w:footnote>
  <w:footnote w:id="3">
    <w:p w14:paraId="5ECDE7C3" w14:textId="77777777" w:rsidR="00786B96" w:rsidRDefault="00786B96" w:rsidP="0063452E">
      <w:pPr>
        <w:pStyle w:val="FootnoteText"/>
      </w:pPr>
      <w:r>
        <w:rPr>
          <w:rStyle w:val="FootnoteReference"/>
        </w:rPr>
        <w:footnoteRef/>
      </w:r>
      <w:r>
        <w:t xml:space="preserve"> External to the Transmission APC.  These systems include Maximo and eDNA among others.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7202" w14:textId="77777777" w:rsidR="00786B96" w:rsidRDefault="00786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970CD" w14:textId="77777777" w:rsidR="00786B96" w:rsidRPr="00FA25E5" w:rsidRDefault="00786B96" w:rsidP="008276B1">
    <w:pPr>
      <w:pStyle w:val="Header"/>
      <w:rPr>
        <w:iCs/>
        <w:sz w:val="20"/>
        <w:szCs w:val="20"/>
      </w:rPr>
    </w:pPr>
  </w:p>
  <w:p w14:paraId="2403A572" w14:textId="59BA6112" w:rsidR="00786B96" w:rsidRPr="00FA25E5" w:rsidRDefault="00786B96" w:rsidP="008276B1">
    <w:pPr>
      <w:pStyle w:val="Header"/>
      <w:rPr>
        <w:iCs/>
        <w:sz w:val="20"/>
        <w:szCs w:val="20"/>
      </w:rPr>
    </w:pPr>
    <w:r>
      <w:rPr>
        <w:iCs/>
        <w:noProof/>
        <w:sz w:val="20"/>
        <w:szCs w:val="20"/>
      </w:rPr>
      <mc:AlternateContent>
        <mc:Choice Requires="wps">
          <w:drawing>
            <wp:anchor distT="0" distB="0" distL="114300" distR="114300" simplePos="0" relativeHeight="251658240" behindDoc="0" locked="0" layoutInCell="1" allowOverlap="1" wp14:anchorId="5E2ACD6C" wp14:editId="2F8E475A">
              <wp:simplePos x="0" y="0"/>
              <wp:positionH relativeFrom="column">
                <wp:posOffset>3962400</wp:posOffset>
              </wp:positionH>
              <wp:positionV relativeFrom="paragraph">
                <wp:posOffset>100330</wp:posOffset>
              </wp:positionV>
              <wp:extent cx="1504950" cy="6191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04950" cy="619125"/>
                      </a:xfrm>
                      <a:prstGeom prst="rect">
                        <a:avLst/>
                      </a:prstGeom>
                      <a:solidFill>
                        <a:schemeClr val="lt1"/>
                      </a:solidFill>
                      <a:ln w="6350">
                        <a:noFill/>
                      </a:ln>
                    </wps:spPr>
                    <wps:txbx>
                      <w:txbxContent>
                        <w:p w14:paraId="43529D21" w14:textId="03650B10" w:rsidR="00786B96" w:rsidRDefault="00786B96">
                          <w:bookmarkStart w:id="5" w:name="_Hlk27548393"/>
                          <w:bookmarkEnd w:id="5"/>
                          <w:r>
                            <w:rPr>
                              <w:noProof/>
                            </w:rPr>
                            <w:drawing>
                              <wp:inline distT="0" distB="0" distL="0" distR="0" wp14:anchorId="56661B36" wp14:editId="6032597A">
                                <wp:extent cx="1315720" cy="5194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1315720" cy="519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2ACD6C" id="_x0000_t202" coordsize="21600,21600" o:spt="202" path="m,l,21600r21600,l21600,xe">
              <v:stroke joinstyle="miter"/>
              <v:path gradientshapeok="t" o:connecttype="rect"/>
            </v:shapetype>
            <v:shape id="Text Box 7" o:spid="_x0000_s1027" type="#_x0000_t202" style="position:absolute;margin-left:312pt;margin-top:7.9pt;width:118.5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" fillcolor="white [3201]" stroked="f" strokeweight=".5pt">
              <v:textbox>
                <w:txbxContent>
                  <w:p w14:paraId="43529D21" w14:textId="03650B10" w:rsidR="00786B96" w:rsidRDefault="00786B96">
                    <w:bookmarkStart w:id="6" w:name="_Hlk27548393"/>
                    <w:bookmarkEnd w:id="6"/>
                    <w:r>
                      <w:rPr>
                        <w:noProof/>
                      </w:rPr>
                      <w:drawing>
                        <wp:inline distT="0" distB="0" distL="0" distR="0" wp14:anchorId="56661B36" wp14:editId="6032597A">
                          <wp:extent cx="1315720" cy="5194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1315720" cy="519465"/>
                                  </a:xfrm>
                                  <a:prstGeom prst="rect">
                                    <a:avLst/>
                                  </a:prstGeom>
                                </pic:spPr>
                              </pic:pic>
                            </a:graphicData>
                          </a:graphic>
                        </wp:inline>
                      </w:drawing>
                    </w:r>
                  </w:p>
                </w:txbxContent>
              </v:textbox>
            </v:shape>
          </w:pict>
        </mc:Fallback>
      </mc:AlternateContent>
    </w:r>
  </w:p>
  <w:p w14:paraId="40F23113" w14:textId="78E0EFFD" w:rsidR="00786B96" w:rsidRDefault="00786B96" w:rsidP="004F29D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3EE1" w14:textId="77777777" w:rsidR="00786B96" w:rsidRDefault="00786B96" w:rsidP="00FB0A6A">
    <w:pPr>
      <w:pStyle w:val="Header"/>
    </w:pPr>
  </w:p>
  <w:p w14:paraId="1A2A3DF1" w14:textId="206C9359" w:rsidR="00786B96" w:rsidRDefault="00786B96" w:rsidP="00FB0A6A">
    <w:pPr>
      <w:pStyle w:val="Header"/>
      <w:rPr>
        <w:rFonts w:cstheme="minorHAnsi"/>
      </w:rPr>
    </w:pPr>
  </w:p>
  <w:p w14:paraId="1865B19C" w14:textId="77777777" w:rsidR="00786B96" w:rsidRDefault="00786B96" w:rsidP="00574C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DD725" w14:textId="66AB9BB3" w:rsidR="00786B96" w:rsidRDefault="00786B96" w:rsidP="00FB0A6A">
    <w:pPr>
      <w:pStyle w:val="Header"/>
    </w:pPr>
    <w:r>
      <w:rPr>
        <w:noProof/>
      </w:rPr>
      <mc:AlternateContent>
        <mc:Choice Requires="wps">
          <w:drawing>
            <wp:anchor distT="0" distB="0" distL="114300" distR="114300" simplePos="0" relativeHeight="251658243" behindDoc="0" locked="0" layoutInCell="1" allowOverlap="1" wp14:anchorId="7838E427" wp14:editId="1F4A488C">
              <wp:simplePos x="0" y="0"/>
              <wp:positionH relativeFrom="column">
                <wp:posOffset>3133725</wp:posOffset>
              </wp:positionH>
              <wp:positionV relativeFrom="paragraph">
                <wp:posOffset>131444</wp:posOffset>
              </wp:positionV>
              <wp:extent cx="2867025" cy="904875"/>
              <wp:effectExtent l="0" t="0" r="9525" b="952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57659" w14:textId="3786EE24" w:rsidR="00786B96" w:rsidRDefault="00786B96" w:rsidP="00574CB3">
                          <w:pPr>
                            <w:ind w:right="633"/>
                            <w:jc w:val="right"/>
                          </w:pPr>
                          <w:r>
                            <w:rPr>
                              <w:noProof/>
                            </w:rPr>
                            <w:drawing>
                              <wp:inline distT="0" distB="0" distL="0" distR="0" wp14:anchorId="4E6AAB8D" wp14:editId="6D441D35">
                                <wp:extent cx="2025423"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2072173" cy="818568"/>
                                        </a:xfrm>
                                        <a:prstGeom prst="rect">
                                          <a:avLst/>
                                        </a:prstGeom>
                                      </pic:spPr>
                                    </pic:pic>
                                  </a:graphicData>
                                </a:graphic>
                              </wp:inline>
                            </w:drawing>
                          </w:r>
                        </w:p>
                        <w:p w14:paraId="74CCA318" w14:textId="77777777" w:rsidR="00786B96" w:rsidRDefault="00786B96" w:rsidP="00574CB3">
                          <w:pPr>
                            <w:ind w:right="633"/>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8E427" id="_x0000_t202" coordsize="21600,21600" o:spt="202" path="m,l,21600r21600,l21600,xe">
              <v:stroke joinstyle="miter"/>
              <v:path gradientshapeok="t" o:connecttype="rect"/>
            </v:shapetype>
            <v:shape id="Text Box 3" o:spid="_x0000_s1028" type="#_x0000_t202" style="position:absolute;margin-left:246.75pt;margin-top:10.35pt;width:225.75pt;height:7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" stroked="f">
              <v:textbox>
                <w:txbxContent>
                  <w:p w14:paraId="38057659" w14:textId="3786EE24" w:rsidR="00786B96" w:rsidRDefault="00786B96" w:rsidP="00574CB3">
                    <w:pPr>
                      <w:ind w:right="633"/>
                      <w:jc w:val="right"/>
                    </w:pPr>
                    <w:r>
                      <w:rPr>
                        <w:noProof/>
                      </w:rPr>
                      <w:drawing>
                        <wp:inline distT="0" distB="0" distL="0" distR="0" wp14:anchorId="4E6AAB8D" wp14:editId="6D441D35">
                          <wp:extent cx="2025423"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2072173" cy="818568"/>
                                  </a:xfrm>
                                  <a:prstGeom prst="rect">
                                    <a:avLst/>
                                  </a:prstGeom>
                                </pic:spPr>
                              </pic:pic>
                            </a:graphicData>
                          </a:graphic>
                        </wp:inline>
                      </w:drawing>
                    </w:r>
                  </w:p>
                  <w:p w14:paraId="74CCA318" w14:textId="77777777" w:rsidR="00786B96" w:rsidRDefault="00786B96" w:rsidP="00574CB3">
                    <w:pPr>
                      <w:ind w:right="633"/>
                      <w:jc w:val="right"/>
                    </w:pPr>
                  </w:p>
                </w:txbxContent>
              </v:textbox>
            </v:shape>
          </w:pict>
        </mc:Fallback>
      </mc:AlternateContent>
    </w:r>
  </w:p>
  <w:p w14:paraId="3D636442" w14:textId="411BE84D" w:rsidR="00786B96" w:rsidRDefault="00786B96" w:rsidP="00FB0A6A">
    <w:pPr>
      <w:pStyle w:val="Header"/>
      <w:rPr>
        <w:rFonts w:cstheme="minorHAnsi"/>
      </w:rPr>
    </w:pPr>
  </w:p>
  <w:p w14:paraId="0F31D12D" w14:textId="77777777" w:rsidR="00786B96" w:rsidRDefault="00786B96" w:rsidP="00FB0A6A">
    <w:pPr>
      <w:pStyle w:val="Header"/>
    </w:pPr>
    <w:r>
      <w:tab/>
    </w:r>
    <w:r>
      <w:tab/>
    </w:r>
  </w:p>
  <w:p w14:paraId="05325D7B" w14:textId="02504CB2" w:rsidR="00786B96" w:rsidRDefault="00786B96" w:rsidP="00574CB3">
    <w:pPr>
      <w:pStyle w:val="Header"/>
      <w:jc w:val="right"/>
    </w:pPr>
  </w:p>
  <w:p w14:paraId="5D9AF1E0" w14:textId="77777777" w:rsidR="00786B96" w:rsidRDefault="00786B96" w:rsidP="00574CB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9C56" w14:textId="77777777" w:rsidR="00786B96" w:rsidRDefault="00786B96" w:rsidP="00FB0A6A">
    <w:pPr>
      <w:pStyle w:val="Header"/>
    </w:pPr>
  </w:p>
  <w:p w14:paraId="4FFF4CE8" w14:textId="77777777" w:rsidR="00786B96" w:rsidRDefault="00786B96" w:rsidP="00FB0A6A">
    <w:pPr>
      <w:pStyle w:val="Header"/>
      <w:rPr>
        <w:rFonts w:cstheme="minorHAnsi"/>
      </w:rPr>
    </w:pPr>
    <w:r>
      <w:rPr>
        <w:noProof/>
      </w:rPr>
      <mc:AlternateContent>
        <mc:Choice Requires="wps">
          <w:drawing>
            <wp:anchor distT="0" distB="0" distL="114300" distR="114300" simplePos="0" relativeHeight="251658242" behindDoc="0" locked="0" layoutInCell="1" allowOverlap="1" wp14:anchorId="690F649F" wp14:editId="7AA351ED">
              <wp:simplePos x="0" y="0"/>
              <wp:positionH relativeFrom="column">
                <wp:posOffset>3752850</wp:posOffset>
              </wp:positionH>
              <wp:positionV relativeFrom="paragraph">
                <wp:posOffset>46355</wp:posOffset>
              </wp:positionV>
              <wp:extent cx="2247900" cy="838200"/>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1353A" w14:textId="77777777" w:rsidR="00786B96" w:rsidRDefault="00786B96" w:rsidP="00574CB3">
                          <w:pPr>
                            <w:ind w:right="633"/>
                            <w:jc w:val="right"/>
                          </w:pPr>
                          <w:r>
                            <w:rPr>
                              <w:noProof/>
                            </w:rPr>
                            <w:drawing>
                              <wp:inline distT="0" distB="0" distL="0" distR="0" wp14:anchorId="033D52EA" wp14:editId="62A28EB5">
                                <wp:extent cx="1518488" cy="599846"/>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1547693" cy="61138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F649F" id="_x0000_t202" coordsize="21600,21600" o:spt="202" path="m,l,21600r21600,l21600,xe">
              <v:stroke joinstyle="miter"/>
              <v:path gradientshapeok="t" o:connecttype="rect"/>
            </v:shapetype>
            <v:shape id="_x0000_s1029" type="#_x0000_t202" style="position:absolute;margin-left:295.5pt;margin-top:3.65pt;width:177pt;height: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" stroked="f">
              <v:textbox>
                <w:txbxContent>
                  <w:p w14:paraId="3671353A" w14:textId="77777777" w:rsidR="00786B96" w:rsidRDefault="00786B96" w:rsidP="00574CB3">
                    <w:pPr>
                      <w:ind w:right="633"/>
                      <w:jc w:val="right"/>
                    </w:pPr>
                    <w:r>
                      <w:rPr>
                        <w:noProof/>
                      </w:rPr>
                      <w:drawing>
                        <wp:inline distT="0" distB="0" distL="0" distR="0" wp14:anchorId="033D52EA" wp14:editId="62A28EB5">
                          <wp:extent cx="1518488" cy="599846"/>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1547693" cy="611383"/>
                                  </a:xfrm>
                                  <a:prstGeom prst="rect">
                                    <a:avLst/>
                                  </a:prstGeom>
                                </pic:spPr>
                              </pic:pic>
                            </a:graphicData>
                          </a:graphic>
                        </wp:inline>
                      </w:drawing>
                    </w:r>
                  </w:p>
                </w:txbxContent>
              </v:textbox>
            </v:shape>
          </w:pict>
        </mc:Fallback>
      </mc:AlternateContent>
    </w:r>
  </w:p>
  <w:p w14:paraId="0756AA87" w14:textId="77777777" w:rsidR="00786B96" w:rsidRPr="00574CB3" w:rsidRDefault="00786B96" w:rsidP="00A03823">
    <w:pPr>
      <w:pStyle w:val="Header"/>
      <w:rPr>
        <w:i/>
        <w:sz w:val="20"/>
        <w:szCs w:val="20"/>
      </w:rPr>
    </w:pPr>
    <w:r>
      <w:rPr>
        <w:i/>
        <w:sz w:val="20"/>
        <w:szCs w:val="20"/>
      </w:rPr>
      <w:t>TVA</w:t>
    </w:r>
    <w:r w:rsidRPr="00574CB3">
      <w:rPr>
        <w:i/>
        <w:sz w:val="20"/>
        <w:szCs w:val="20"/>
      </w:rPr>
      <w:t xml:space="preserve"> </w:t>
    </w:r>
    <w:r>
      <w:rPr>
        <w:i/>
        <w:sz w:val="20"/>
        <w:szCs w:val="20"/>
      </w:rPr>
      <w:t>Solicitation 99419 – Asset Performance Center</w:t>
    </w:r>
  </w:p>
  <w:p w14:paraId="22D8AF06" w14:textId="77777777" w:rsidR="00786B96" w:rsidRPr="00574CB3" w:rsidRDefault="00786B96" w:rsidP="00A03823">
    <w:pPr>
      <w:pStyle w:val="Header"/>
      <w:rPr>
        <w:b/>
        <w:sz w:val="24"/>
        <w:szCs w:val="24"/>
      </w:rPr>
    </w:pPr>
    <w:r>
      <w:rPr>
        <w:b/>
        <w:sz w:val="24"/>
        <w:szCs w:val="24"/>
      </w:rPr>
      <w:t>Asset Data Aggregation and Condition Analytics Tools</w:t>
    </w:r>
  </w:p>
  <w:p w14:paraId="307BE4C5" w14:textId="75DBABB1" w:rsidR="00786B96" w:rsidRDefault="00786B96" w:rsidP="00FB0A6A">
    <w:pPr>
      <w:pStyle w:val="Header"/>
    </w:pPr>
    <w:r>
      <w:tab/>
    </w:r>
    <w:r>
      <w:tab/>
    </w:r>
  </w:p>
  <w:p w14:paraId="1C04391A" w14:textId="77777777" w:rsidR="00786B96" w:rsidRDefault="00786B96" w:rsidP="00574CB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38F6" w14:textId="2D5F3399" w:rsidR="00786B96" w:rsidRPr="00FA25E5" w:rsidRDefault="00786B96" w:rsidP="008276B1">
    <w:pPr>
      <w:pStyle w:val="Header"/>
      <w:rPr>
        <w:iCs/>
        <w:sz w:val="20"/>
        <w:szCs w:val="20"/>
      </w:rPr>
    </w:pPr>
  </w:p>
  <w:p w14:paraId="5CBF06E3" w14:textId="384B3FF6" w:rsidR="00786B96" w:rsidRPr="00FA25E5" w:rsidRDefault="00786B96" w:rsidP="008276B1">
    <w:pPr>
      <w:pStyle w:val="Header"/>
      <w:rPr>
        <w:iCs/>
        <w:sz w:val="20"/>
        <w:szCs w:val="20"/>
      </w:rPr>
    </w:pPr>
    <w:r>
      <w:rPr>
        <w:iCs/>
        <w:noProof/>
        <w:sz w:val="20"/>
        <w:szCs w:val="20"/>
      </w:rPr>
      <mc:AlternateContent>
        <mc:Choice Requires="wps">
          <w:drawing>
            <wp:anchor distT="0" distB="0" distL="114300" distR="114300" simplePos="0" relativeHeight="251658241" behindDoc="0" locked="0" layoutInCell="1" allowOverlap="1" wp14:anchorId="50D0AA02" wp14:editId="2CB692F6">
              <wp:simplePos x="0" y="0"/>
              <wp:positionH relativeFrom="column">
                <wp:posOffset>4803800</wp:posOffset>
              </wp:positionH>
              <wp:positionV relativeFrom="paragraph">
                <wp:posOffset>57785</wp:posOffset>
              </wp:positionV>
              <wp:extent cx="1166400" cy="685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66400" cy="685800"/>
                      </a:xfrm>
                      <a:prstGeom prst="rect">
                        <a:avLst/>
                      </a:prstGeom>
                      <a:solidFill>
                        <a:schemeClr val="lt1"/>
                      </a:solidFill>
                      <a:ln w="6350">
                        <a:noFill/>
                      </a:ln>
                    </wps:spPr>
                    <wps:txbx>
                      <w:txbxContent>
                        <w:p w14:paraId="1F50D637" w14:textId="7B00BE86" w:rsidR="00786B96" w:rsidRDefault="00786B96" w:rsidP="00C632C7">
                          <w:pPr>
                            <w:jc w:val="both"/>
                          </w:pPr>
                          <w:r>
                            <w:rPr>
                              <w:noProof/>
                            </w:rPr>
                            <w:drawing>
                              <wp:inline distT="0" distB="0" distL="0" distR="0" wp14:anchorId="383B658A" wp14:editId="0AE39B79">
                                <wp:extent cx="942161" cy="575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240" cy="600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0AA02" id="_x0000_t202" coordsize="21600,21600" o:spt="202" path="m,l,21600r21600,l21600,xe">
              <v:stroke joinstyle="miter"/>
              <v:path gradientshapeok="t" o:connecttype="rect"/>
            </v:shapetype>
            <v:shape id="Text Box 20" o:spid="_x0000_s1030" type="#_x0000_t202" style="position:absolute;margin-left:378.25pt;margin-top:4.55pt;width:91.8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" fillcolor="white [3201]" stroked="f" strokeweight=".5pt">
              <v:textbox>
                <w:txbxContent>
                  <w:p w14:paraId="1F50D637" w14:textId="7B00BE86" w:rsidR="00786B96" w:rsidRDefault="00786B96" w:rsidP="00C632C7">
                    <w:pPr>
                      <w:jc w:val="both"/>
                    </w:pPr>
                    <w:r>
                      <w:rPr>
                        <w:noProof/>
                      </w:rPr>
                      <w:drawing>
                        <wp:inline distT="0" distB="0" distL="0" distR="0" wp14:anchorId="383B658A" wp14:editId="0AE39B79">
                          <wp:extent cx="942161" cy="575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240" cy="600848"/>
                                  </a:xfrm>
                                  <a:prstGeom prst="rect">
                                    <a:avLst/>
                                  </a:prstGeom>
                                  <a:noFill/>
                                  <a:ln>
                                    <a:noFill/>
                                  </a:ln>
                                </pic:spPr>
                              </pic:pic>
                            </a:graphicData>
                          </a:graphic>
                        </wp:inline>
                      </w:drawing>
                    </w:r>
                  </w:p>
                </w:txbxContent>
              </v:textbox>
            </v:shape>
          </w:pict>
        </mc:Fallback>
      </mc:AlternateContent>
    </w:r>
  </w:p>
  <w:p w14:paraId="27782448" w14:textId="28C73651" w:rsidR="00786B96" w:rsidRPr="00574CB3" w:rsidRDefault="00786B96" w:rsidP="008276B1">
    <w:pPr>
      <w:pStyle w:val="Header"/>
      <w:rPr>
        <w:i/>
        <w:sz w:val="20"/>
        <w:szCs w:val="20"/>
      </w:rPr>
    </w:pPr>
    <w:r>
      <w:rPr>
        <w:i/>
        <w:sz w:val="20"/>
        <w:szCs w:val="20"/>
      </w:rPr>
      <w:t>TVA</w:t>
    </w:r>
    <w:r w:rsidRPr="00574CB3">
      <w:rPr>
        <w:i/>
        <w:sz w:val="20"/>
        <w:szCs w:val="20"/>
      </w:rPr>
      <w:t xml:space="preserve"> </w:t>
    </w:r>
    <w:r>
      <w:rPr>
        <w:i/>
        <w:sz w:val="20"/>
        <w:szCs w:val="20"/>
      </w:rPr>
      <w:t>Solicitation 99419 – Asset Performance Center</w:t>
    </w:r>
  </w:p>
  <w:p w14:paraId="4714B4A0" w14:textId="5D26423C" w:rsidR="00786B96" w:rsidRPr="00574CB3" w:rsidRDefault="00786B96" w:rsidP="008276B1">
    <w:pPr>
      <w:pStyle w:val="Header"/>
      <w:rPr>
        <w:b/>
        <w:sz w:val="24"/>
        <w:szCs w:val="24"/>
      </w:rPr>
    </w:pPr>
    <w:r>
      <w:rPr>
        <w:b/>
        <w:sz w:val="24"/>
        <w:szCs w:val="24"/>
      </w:rPr>
      <w:t>Asset Data Aggregation and Condition Analytics Tools</w:t>
    </w:r>
  </w:p>
  <w:p w14:paraId="00622922" w14:textId="77777777" w:rsidR="00786B96" w:rsidRDefault="00786B96" w:rsidP="004F29D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5008"/>
    <w:multiLevelType w:val="hybridMultilevel"/>
    <w:tmpl w:val="2C20385A"/>
    <w:lvl w:ilvl="0" w:tplc="A1249308">
      <w:start w:val="1"/>
      <w:numFmt w:val="decimal"/>
      <w:lvlText w:val="%1."/>
      <w:lvlJc w:val="left"/>
      <w:pPr>
        <w:ind w:left="3330" w:hanging="360"/>
      </w:pPr>
      <w:rPr>
        <w:rFonts w:hint="default"/>
      </w:rPr>
    </w:lvl>
    <w:lvl w:ilvl="1" w:tplc="04090019">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 w15:restartNumberingAfterBreak="0">
    <w:nsid w:val="0241347F"/>
    <w:multiLevelType w:val="hybridMultilevel"/>
    <w:tmpl w:val="89668C84"/>
    <w:lvl w:ilvl="0" w:tplc="FD66C770">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D206C"/>
    <w:multiLevelType w:val="hybridMultilevel"/>
    <w:tmpl w:val="7526AF6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91350"/>
    <w:multiLevelType w:val="hybridMultilevel"/>
    <w:tmpl w:val="143E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C0F8F"/>
    <w:multiLevelType w:val="hybridMultilevel"/>
    <w:tmpl w:val="127EECDA"/>
    <w:lvl w:ilvl="0" w:tplc="E9BC5BCC">
      <w:start w:val="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47D55"/>
    <w:multiLevelType w:val="hybridMultilevel"/>
    <w:tmpl w:val="B546C5A2"/>
    <w:lvl w:ilvl="0" w:tplc="5956A8D4">
      <w:start w:val="1"/>
      <w:numFmt w:val="bullet"/>
      <w:lvlText w:val=""/>
      <w:lvlJc w:val="left"/>
      <w:pPr>
        <w:ind w:left="720" w:hanging="360"/>
      </w:pPr>
      <w:rPr>
        <w:rFonts w:ascii="Symbol" w:hAnsi="Symbol" w:hint="default"/>
      </w:rPr>
    </w:lvl>
    <w:lvl w:ilvl="1" w:tplc="92F2D59C">
      <w:start w:val="1"/>
      <w:numFmt w:val="bullet"/>
      <w:pStyle w:val="Bullet2"/>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C41FE"/>
    <w:multiLevelType w:val="hybridMultilevel"/>
    <w:tmpl w:val="7AB6FEB0"/>
    <w:lvl w:ilvl="0" w:tplc="04090015">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46459"/>
    <w:multiLevelType w:val="hybridMultilevel"/>
    <w:tmpl w:val="3AAE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C7D50"/>
    <w:multiLevelType w:val="hybridMultilevel"/>
    <w:tmpl w:val="05968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E5F68"/>
    <w:multiLevelType w:val="hybridMultilevel"/>
    <w:tmpl w:val="5030D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56D3B"/>
    <w:multiLevelType w:val="hybridMultilevel"/>
    <w:tmpl w:val="2680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C4759"/>
    <w:multiLevelType w:val="hybridMultilevel"/>
    <w:tmpl w:val="DC6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5447B"/>
    <w:multiLevelType w:val="hybridMultilevel"/>
    <w:tmpl w:val="F09AC7D8"/>
    <w:lvl w:ilvl="0" w:tplc="3A820556">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17B9D"/>
    <w:multiLevelType w:val="hybridMultilevel"/>
    <w:tmpl w:val="52004B54"/>
    <w:lvl w:ilvl="0" w:tplc="640C7DF0">
      <w:start w:val="1"/>
      <w:numFmt w:val="upperRoman"/>
      <w:pStyle w:val="Heading1"/>
      <w:lvlText w:val="%1."/>
      <w:lvlJc w:val="right"/>
      <w:pPr>
        <w:ind w:left="369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4" w15:restartNumberingAfterBreak="0">
    <w:nsid w:val="2BC71B39"/>
    <w:multiLevelType w:val="hybridMultilevel"/>
    <w:tmpl w:val="14FC7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B3FF1"/>
    <w:multiLevelType w:val="hybridMultilevel"/>
    <w:tmpl w:val="D3C61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440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2552228"/>
    <w:multiLevelType w:val="hybridMultilevel"/>
    <w:tmpl w:val="09ECE2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03CE1"/>
    <w:multiLevelType w:val="hybridMultilevel"/>
    <w:tmpl w:val="C640114C"/>
    <w:lvl w:ilvl="0" w:tplc="FBDCD920">
      <w:start w:val="1"/>
      <w:numFmt w:val="bullet"/>
      <w:pStyle w:val="bodybullet"/>
      <w:lvlText w:val=""/>
      <w:lvlJc w:val="left"/>
      <w:pPr>
        <w:ind w:left="720" w:hanging="360"/>
      </w:pPr>
      <w:rPr>
        <w:rFonts w:ascii="Symbol" w:hAnsi="Symbol" w:hint="default"/>
      </w:rPr>
    </w:lvl>
    <w:lvl w:ilvl="1" w:tplc="5344C44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E7148"/>
    <w:multiLevelType w:val="hybridMultilevel"/>
    <w:tmpl w:val="3DEE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8290D"/>
    <w:multiLevelType w:val="hybridMultilevel"/>
    <w:tmpl w:val="83FA9930"/>
    <w:lvl w:ilvl="0" w:tplc="5956A8D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50C90"/>
    <w:multiLevelType w:val="hybridMultilevel"/>
    <w:tmpl w:val="7526A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E51286"/>
    <w:multiLevelType w:val="hybridMultilevel"/>
    <w:tmpl w:val="120E1902"/>
    <w:lvl w:ilvl="0" w:tplc="CE38CF1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627DB"/>
    <w:multiLevelType w:val="multilevel"/>
    <w:tmpl w:val="306AE3A6"/>
    <w:lvl w:ilvl="0">
      <w:start w:val="1"/>
      <w:numFmt w:val="upperLetter"/>
      <w:pStyle w:val="Level1"/>
      <w:lvlText w:val="%1."/>
      <w:lvlJc w:val="left"/>
      <w:rPr>
        <w:rFonts w:ascii="Times New Roman" w:hAnsi="Times New Roman" w:cs="Times New Roman" w:hint="default"/>
        <w:b w:val="0"/>
        <w:bCs w:val="0"/>
        <w:i w:val="0"/>
        <w:iCs w:val="0"/>
        <w:caps/>
        <w:smallCaps w:val="0"/>
        <w:color w:val="000000"/>
        <w:sz w:val="24"/>
        <w:szCs w:val="24"/>
        <w:u w:val="none"/>
      </w:rPr>
    </w:lvl>
    <w:lvl w:ilvl="1">
      <w:start w:val="1"/>
      <w:numFmt w:val="decimal"/>
      <w:pStyle w:val="Level2"/>
      <w:isLgl/>
      <w:lvlText w:val="%2."/>
      <w:lvlJc w:val="left"/>
      <w:pPr>
        <w:ind w:firstLine="720"/>
      </w:pPr>
      <w:rPr>
        <w:rFonts w:cs="Times New Roman" w:hint="default"/>
        <w:b w:val="0"/>
        <w:bCs w:val="0"/>
        <w:i w:val="0"/>
        <w:iCs w:val="0"/>
        <w:caps w:val="0"/>
        <w:color w:val="000000"/>
        <w:sz w:val="24"/>
        <w:szCs w:val="24"/>
        <w:u w:val="none"/>
      </w:rPr>
    </w:lvl>
    <w:lvl w:ilvl="2">
      <w:start w:val="1"/>
      <w:numFmt w:val="lowerLetter"/>
      <w:pStyle w:val="Level3"/>
      <w:lvlText w:val="(%3)"/>
      <w:lvlJc w:val="left"/>
      <w:pPr>
        <w:ind w:firstLine="1440"/>
      </w:pPr>
      <w:rPr>
        <w:rFonts w:ascii="Arial" w:hAnsi="Arial" w:cs="Arial" w:hint="default"/>
        <w:b w:val="0"/>
        <w:bCs w:val="0"/>
        <w:i w:val="0"/>
        <w:iCs w:val="0"/>
        <w:caps w:val="0"/>
        <w:strike w:val="0"/>
        <w:dstrike w:val="0"/>
        <w:color w:val="000000"/>
        <w:sz w:val="24"/>
        <w:szCs w:val="24"/>
        <w:u w:val="none"/>
      </w:rPr>
    </w:lvl>
    <w:lvl w:ilvl="3">
      <w:start w:val="1"/>
      <w:numFmt w:val="decimal"/>
      <w:pStyle w:val="Level4"/>
      <w:isLgl/>
      <w:lvlText w:val="(%4)"/>
      <w:lvlJc w:val="left"/>
      <w:pPr>
        <w:ind w:firstLine="2160"/>
      </w:pPr>
      <w:rPr>
        <w:rFonts w:ascii="Times New Roman" w:hAnsi="Times New Roman" w:cs="Times New Roman" w:hint="default"/>
        <w:b w:val="0"/>
        <w:bCs w:val="0"/>
        <w:i w:val="0"/>
        <w:iCs w:val="0"/>
        <w:caps w:val="0"/>
        <w:color w:val="000000"/>
        <w:sz w:val="22"/>
        <w:szCs w:val="22"/>
        <w:u w:val="none"/>
      </w:rPr>
    </w:lvl>
    <w:lvl w:ilvl="4">
      <w:start w:val="1"/>
      <w:numFmt w:val="lowerRoman"/>
      <w:pStyle w:val="Level5"/>
      <w:lvlText w:val="(%5)"/>
      <w:lvlJc w:val="left"/>
      <w:pPr>
        <w:ind w:firstLine="2880"/>
      </w:pPr>
      <w:rPr>
        <w:rFonts w:ascii="Times New Roman" w:hAnsi="Times New Roman" w:cs="Times New Roman" w:hint="default"/>
        <w:b w:val="0"/>
        <w:bCs w:val="0"/>
        <w:i w:val="0"/>
        <w:iCs w:val="0"/>
        <w:caps w:val="0"/>
        <w:color w:val="000000"/>
        <w:sz w:val="22"/>
        <w:szCs w:val="22"/>
        <w:u w:val="none"/>
      </w:rPr>
    </w:lvl>
    <w:lvl w:ilvl="5">
      <w:start w:val="1"/>
      <w:numFmt w:val="lowerLetter"/>
      <w:pStyle w:val="Level6"/>
      <w:lvlText w:val="(%6)"/>
      <w:lvlJc w:val="left"/>
      <w:pPr>
        <w:ind w:left="4320" w:hanging="720"/>
      </w:pPr>
      <w:rPr>
        <w:rFonts w:ascii="Times New Roman" w:hAnsi="Times New Roman" w:cs="Times New Roman" w:hint="default"/>
        <w:b w:val="0"/>
        <w:bCs w:val="0"/>
        <w:i w:val="0"/>
        <w:iCs w:val="0"/>
        <w:caps w:val="0"/>
        <w:color w:val="000000"/>
        <w:sz w:val="24"/>
        <w:szCs w:val="24"/>
        <w:u w:val="none"/>
      </w:rPr>
    </w:lvl>
    <w:lvl w:ilvl="6">
      <w:start w:val="1"/>
      <w:numFmt w:val="lowerRoman"/>
      <w:pStyle w:val="Level7"/>
      <w:lvlText w:val="%7)"/>
      <w:lvlJc w:val="left"/>
      <w:pPr>
        <w:ind w:left="5040" w:hanging="720"/>
      </w:pPr>
      <w:rPr>
        <w:rFonts w:ascii="Times New Roman" w:hAnsi="Times New Roman" w:cs="Times New Roman" w:hint="default"/>
        <w:b w:val="0"/>
        <w:bCs w:val="0"/>
        <w:i w:val="0"/>
        <w:iCs w:val="0"/>
        <w:caps w:val="0"/>
        <w:color w:val="000000"/>
        <w:sz w:val="24"/>
        <w:szCs w:val="24"/>
        <w:u w:val="none"/>
      </w:rPr>
    </w:lvl>
    <w:lvl w:ilvl="7">
      <w:start w:val="1"/>
      <w:numFmt w:val="lowerLetter"/>
      <w:pStyle w:val="Level8"/>
      <w:lvlText w:val="%8)"/>
      <w:lvlJc w:val="left"/>
      <w:pPr>
        <w:ind w:left="5760" w:hanging="720"/>
      </w:pPr>
      <w:rPr>
        <w:rFonts w:ascii="Times New Roman" w:hAnsi="Times New Roman" w:cs="Times New Roman" w:hint="default"/>
        <w:b w:val="0"/>
        <w:bCs w:val="0"/>
        <w:i w:val="0"/>
        <w:iCs w:val="0"/>
        <w:caps w:val="0"/>
        <w:color w:val="000000"/>
        <w:sz w:val="24"/>
        <w:szCs w:val="24"/>
        <w:u w:val="none"/>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46EB5632"/>
    <w:multiLevelType w:val="hybridMultilevel"/>
    <w:tmpl w:val="FFDEA286"/>
    <w:lvl w:ilvl="0" w:tplc="657EF834">
      <w:start w:val="1"/>
      <w:numFmt w:val="decimal"/>
      <w:pStyle w:val="NumberedItem"/>
      <w:lvlText w:val="%1."/>
      <w:lvlJc w:val="left"/>
      <w:pPr>
        <w:ind w:left="720" w:hanging="360"/>
      </w:pPr>
      <w:rPr>
        <w:rFonts w:hint="default"/>
      </w:rPr>
    </w:lvl>
    <w:lvl w:ilvl="1" w:tplc="5344C44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87CA1"/>
    <w:multiLevelType w:val="hybridMultilevel"/>
    <w:tmpl w:val="1A9667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2E50C3"/>
    <w:multiLevelType w:val="hybridMultilevel"/>
    <w:tmpl w:val="0A36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42E29"/>
    <w:multiLevelType w:val="hybridMultilevel"/>
    <w:tmpl w:val="7DF81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F77388"/>
    <w:multiLevelType w:val="hybridMultilevel"/>
    <w:tmpl w:val="58E6F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339AB"/>
    <w:multiLevelType w:val="hybridMultilevel"/>
    <w:tmpl w:val="12C68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01F7E"/>
    <w:multiLevelType w:val="hybridMultilevel"/>
    <w:tmpl w:val="32542D0A"/>
    <w:lvl w:ilvl="0" w:tplc="3A820556">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BC58BD"/>
    <w:multiLevelType w:val="hybridMultilevel"/>
    <w:tmpl w:val="4364C8C8"/>
    <w:lvl w:ilvl="0" w:tplc="04090001">
      <w:start w:val="1"/>
      <w:numFmt w:val="bullet"/>
      <w:lvlText w:val=""/>
      <w:lvlJc w:val="left"/>
      <w:pPr>
        <w:ind w:left="720" w:hanging="360"/>
      </w:pPr>
      <w:rPr>
        <w:rFonts w:ascii="Symbol" w:hAnsi="Symbol" w:hint="default"/>
      </w:rPr>
    </w:lvl>
    <w:lvl w:ilvl="1" w:tplc="33CEB2D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F713F"/>
    <w:multiLevelType w:val="hybridMultilevel"/>
    <w:tmpl w:val="A224C0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A733EE5"/>
    <w:multiLevelType w:val="hybridMultilevel"/>
    <w:tmpl w:val="0BECAD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F6C72"/>
    <w:multiLevelType w:val="hybridMultilevel"/>
    <w:tmpl w:val="C7C8E3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D0FEE"/>
    <w:multiLevelType w:val="hybridMultilevel"/>
    <w:tmpl w:val="BA5A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290EED"/>
    <w:multiLevelType w:val="hybridMultilevel"/>
    <w:tmpl w:val="7BA6F5C8"/>
    <w:lvl w:ilvl="0" w:tplc="83388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D46C96"/>
    <w:multiLevelType w:val="hybridMultilevel"/>
    <w:tmpl w:val="05D2AE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1556C"/>
    <w:multiLevelType w:val="hybridMultilevel"/>
    <w:tmpl w:val="B066C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7742FB"/>
    <w:multiLevelType w:val="hybridMultilevel"/>
    <w:tmpl w:val="CD56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DB422E"/>
    <w:multiLevelType w:val="hybridMultilevel"/>
    <w:tmpl w:val="77AC7884"/>
    <w:lvl w:ilvl="0" w:tplc="ECBA24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F1EDD"/>
    <w:multiLevelType w:val="hybridMultilevel"/>
    <w:tmpl w:val="55AE7E9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0"/>
  </w:num>
  <w:num w:numId="2">
    <w:abstractNumId w:val="5"/>
  </w:num>
  <w:num w:numId="3">
    <w:abstractNumId w:val="23"/>
  </w:num>
  <w:num w:numId="4">
    <w:abstractNumId w:val="30"/>
  </w:num>
  <w:num w:numId="5">
    <w:abstractNumId w:val="15"/>
  </w:num>
  <w:num w:numId="6">
    <w:abstractNumId w:val="6"/>
  </w:num>
  <w:num w:numId="7">
    <w:abstractNumId w:val="38"/>
  </w:num>
  <w:num w:numId="8">
    <w:abstractNumId w:val="41"/>
  </w:num>
  <w:num w:numId="9">
    <w:abstractNumId w:val="9"/>
  </w:num>
  <w:num w:numId="10">
    <w:abstractNumId w:val="27"/>
  </w:num>
  <w:num w:numId="11">
    <w:abstractNumId w:val="12"/>
  </w:num>
  <w:num w:numId="12">
    <w:abstractNumId w:val="34"/>
  </w:num>
  <w:num w:numId="13">
    <w:abstractNumId w:val="17"/>
  </w:num>
  <w:num w:numId="14">
    <w:abstractNumId w:val="32"/>
  </w:num>
  <w:num w:numId="15">
    <w:abstractNumId w:val="25"/>
  </w:num>
  <w:num w:numId="16">
    <w:abstractNumId w:val="40"/>
  </w:num>
  <w:num w:numId="17">
    <w:abstractNumId w:val="22"/>
  </w:num>
  <w:num w:numId="18">
    <w:abstractNumId w:val="26"/>
  </w:num>
  <w:num w:numId="19">
    <w:abstractNumId w:val="18"/>
  </w:num>
  <w:num w:numId="20">
    <w:abstractNumId w:val="31"/>
  </w:num>
  <w:num w:numId="21">
    <w:abstractNumId w:val="19"/>
  </w:num>
  <w:num w:numId="22">
    <w:abstractNumId w:val="36"/>
  </w:num>
  <w:num w:numId="23">
    <w:abstractNumId w:val="11"/>
  </w:num>
  <w:num w:numId="24">
    <w:abstractNumId w:val="33"/>
  </w:num>
  <w:num w:numId="25">
    <w:abstractNumId w:val="16"/>
  </w:num>
  <w:num w:numId="26">
    <w:abstractNumId w:val="39"/>
  </w:num>
  <w:num w:numId="27">
    <w:abstractNumId w:val="39"/>
  </w:num>
  <w:num w:numId="28">
    <w:abstractNumId w:val="29"/>
  </w:num>
  <w:num w:numId="29">
    <w:abstractNumId w:val="13"/>
  </w:num>
  <w:num w:numId="30">
    <w:abstractNumId w:val="13"/>
  </w:num>
  <w:num w:numId="31">
    <w:abstractNumId w:val="24"/>
  </w:num>
  <w:num w:numId="32">
    <w:abstractNumId w:val="4"/>
  </w:num>
  <w:num w:numId="33">
    <w:abstractNumId w:val="1"/>
  </w:num>
  <w:num w:numId="34">
    <w:abstractNumId w:val="8"/>
  </w:num>
  <w:num w:numId="35">
    <w:abstractNumId w:val="24"/>
    <w:lvlOverride w:ilvl="0">
      <w:startOverride w:val="1"/>
    </w:lvlOverride>
  </w:num>
  <w:num w:numId="36">
    <w:abstractNumId w:val="14"/>
  </w:num>
  <w:num w:numId="37">
    <w:abstractNumId w:val="28"/>
  </w:num>
  <w:num w:numId="38">
    <w:abstractNumId w:val="24"/>
    <w:lvlOverride w:ilvl="0">
      <w:startOverride w:val="1"/>
    </w:lvlOverride>
  </w:num>
  <w:num w:numId="39">
    <w:abstractNumId w:val="24"/>
  </w:num>
  <w:num w:numId="40">
    <w:abstractNumId w:val="24"/>
  </w:num>
  <w:num w:numId="41">
    <w:abstractNumId w:val="35"/>
  </w:num>
  <w:num w:numId="42">
    <w:abstractNumId w:val="0"/>
  </w:num>
  <w:num w:numId="43">
    <w:abstractNumId w:val="37"/>
  </w:num>
  <w:num w:numId="44">
    <w:abstractNumId w:val="2"/>
  </w:num>
  <w:num w:numId="45">
    <w:abstractNumId w:val="21"/>
  </w:num>
  <w:num w:numId="46">
    <w:abstractNumId w:val="7"/>
  </w:num>
  <w:num w:numId="47">
    <w:abstractNumId w:val="24"/>
    <w:lvlOverride w:ilvl="0">
      <w:startOverride w:val="1"/>
    </w:lvlOverride>
  </w:num>
  <w:num w:numId="48">
    <w:abstractNumId w:val="3"/>
  </w:num>
  <w:num w:numId="4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648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A8E"/>
    <w:rsid w:val="000002B5"/>
    <w:rsid w:val="000009A9"/>
    <w:rsid w:val="00000F30"/>
    <w:rsid w:val="0000108F"/>
    <w:rsid w:val="00001771"/>
    <w:rsid w:val="00001D4F"/>
    <w:rsid w:val="0000263F"/>
    <w:rsid w:val="00002E43"/>
    <w:rsid w:val="0000372F"/>
    <w:rsid w:val="0000407A"/>
    <w:rsid w:val="00004280"/>
    <w:rsid w:val="00005AE1"/>
    <w:rsid w:val="000066F7"/>
    <w:rsid w:val="00006A29"/>
    <w:rsid w:val="00007E53"/>
    <w:rsid w:val="00010641"/>
    <w:rsid w:val="00010DC7"/>
    <w:rsid w:val="00011A2D"/>
    <w:rsid w:val="00011D7E"/>
    <w:rsid w:val="0001203A"/>
    <w:rsid w:val="0001212B"/>
    <w:rsid w:val="00012E77"/>
    <w:rsid w:val="00013613"/>
    <w:rsid w:val="00013C3A"/>
    <w:rsid w:val="00014C81"/>
    <w:rsid w:val="00015ACE"/>
    <w:rsid w:val="00015D68"/>
    <w:rsid w:val="0001649A"/>
    <w:rsid w:val="00017E2A"/>
    <w:rsid w:val="00020209"/>
    <w:rsid w:val="000202BD"/>
    <w:rsid w:val="00020F9D"/>
    <w:rsid w:val="00021CC6"/>
    <w:rsid w:val="00023F0B"/>
    <w:rsid w:val="000249C7"/>
    <w:rsid w:val="00024DCF"/>
    <w:rsid w:val="00025235"/>
    <w:rsid w:val="00026095"/>
    <w:rsid w:val="000260AE"/>
    <w:rsid w:val="0002736F"/>
    <w:rsid w:val="000276FA"/>
    <w:rsid w:val="00027709"/>
    <w:rsid w:val="00030D82"/>
    <w:rsid w:val="000319F0"/>
    <w:rsid w:val="00031C50"/>
    <w:rsid w:val="00033869"/>
    <w:rsid w:val="000345A8"/>
    <w:rsid w:val="000352FB"/>
    <w:rsid w:val="000358ED"/>
    <w:rsid w:val="000370A6"/>
    <w:rsid w:val="000373CB"/>
    <w:rsid w:val="00037625"/>
    <w:rsid w:val="00037796"/>
    <w:rsid w:val="000400D7"/>
    <w:rsid w:val="000405AE"/>
    <w:rsid w:val="00040DF2"/>
    <w:rsid w:val="000410DE"/>
    <w:rsid w:val="000412EA"/>
    <w:rsid w:val="00041C2C"/>
    <w:rsid w:val="000421BD"/>
    <w:rsid w:val="00042870"/>
    <w:rsid w:val="00042A61"/>
    <w:rsid w:val="00042B4A"/>
    <w:rsid w:val="00042C1E"/>
    <w:rsid w:val="0004386F"/>
    <w:rsid w:val="00044955"/>
    <w:rsid w:val="00044D54"/>
    <w:rsid w:val="000455A2"/>
    <w:rsid w:val="00045D4C"/>
    <w:rsid w:val="00045E5B"/>
    <w:rsid w:val="00047AC3"/>
    <w:rsid w:val="00050433"/>
    <w:rsid w:val="000505BD"/>
    <w:rsid w:val="000509F1"/>
    <w:rsid w:val="00051F82"/>
    <w:rsid w:val="00051FC5"/>
    <w:rsid w:val="0005210D"/>
    <w:rsid w:val="00052D84"/>
    <w:rsid w:val="00052DD3"/>
    <w:rsid w:val="00054556"/>
    <w:rsid w:val="00054FAD"/>
    <w:rsid w:val="0005583E"/>
    <w:rsid w:val="00056513"/>
    <w:rsid w:val="00060D63"/>
    <w:rsid w:val="00061196"/>
    <w:rsid w:val="000613B7"/>
    <w:rsid w:val="00061716"/>
    <w:rsid w:val="00061F87"/>
    <w:rsid w:val="000620DA"/>
    <w:rsid w:val="00063CA1"/>
    <w:rsid w:val="00063D13"/>
    <w:rsid w:val="00065557"/>
    <w:rsid w:val="000655E5"/>
    <w:rsid w:val="00065FBA"/>
    <w:rsid w:val="0006619A"/>
    <w:rsid w:val="0006761B"/>
    <w:rsid w:val="0006797B"/>
    <w:rsid w:val="00070DF6"/>
    <w:rsid w:val="00071934"/>
    <w:rsid w:val="0007194A"/>
    <w:rsid w:val="00072C88"/>
    <w:rsid w:val="00073276"/>
    <w:rsid w:val="00073322"/>
    <w:rsid w:val="0007402F"/>
    <w:rsid w:val="00074294"/>
    <w:rsid w:val="00074D80"/>
    <w:rsid w:val="0007693D"/>
    <w:rsid w:val="000777FA"/>
    <w:rsid w:val="00077E43"/>
    <w:rsid w:val="00080844"/>
    <w:rsid w:val="00080C96"/>
    <w:rsid w:val="00081727"/>
    <w:rsid w:val="000830F7"/>
    <w:rsid w:val="0008421F"/>
    <w:rsid w:val="000843D8"/>
    <w:rsid w:val="00084593"/>
    <w:rsid w:val="00084CC6"/>
    <w:rsid w:val="00084E39"/>
    <w:rsid w:val="000856F2"/>
    <w:rsid w:val="00086148"/>
    <w:rsid w:val="000873B6"/>
    <w:rsid w:val="00087F04"/>
    <w:rsid w:val="00090554"/>
    <w:rsid w:val="000906BD"/>
    <w:rsid w:val="0009120F"/>
    <w:rsid w:val="000914FA"/>
    <w:rsid w:val="00091F8F"/>
    <w:rsid w:val="00092586"/>
    <w:rsid w:val="00092E39"/>
    <w:rsid w:val="000933F8"/>
    <w:rsid w:val="00094135"/>
    <w:rsid w:val="00095160"/>
    <w:rsid w:val="000951C7"/>
    <w:rsid w:val="00096BA5"/>
    <w:rsid w:val="00096E9E"/>
    <w:rsid w:val="00097205"/>
    <w:rsid w:val="00097460"/>
    <w:rsid w:val="000976E6"/>
    <w:rsid w:val="00097AB0"/>
    <w:rsid w:val="000A05B1"/>
    <w:rsid w:val="000A14FD"/>
    <w:rsid w:val="000A1745"/>
    <w:rsid w:val="000A21A2"/>
    <w:rsid w:val="000A4C2A"/>
    <w:rsid w:val="000A4D45"/>
    <w:rsid w:val="000A4F14"/>
    <w:rsid w:val="000A5091"/>
    <w:rsid w:val="000A5095"/>
    <w:rsid w:val="000A5631"/>
    <w:rsid w:val="000A5B69"/>
    <w:rsid w:val="000A5C49"/>
    <w:rsid w:val="000A5C88"/>
    <w:rsid w:val="000A5E4D"/>
    <w:rsid w:val="000A62BB"/>
    <w:rsid w:val="000A65C8"/>
    <w:rsid w:val="000A6E26"/>
    <w:rsid w:val="000A6F8E"/>
    <w:rsid w:val="000A7497"/>
    <w:rsid w:val="000A7711"/>
    <w:rsid w:val="000A773F"/>
    <w:rsid w:val="000A7787"/>
    <w:rsid w:val="000A7788"/>
    <w:rsid w:val="000A7D0E"/>
    <w:rsid w:val="000B1612"/>
    <w:rsid w:val="000B27A7"/>
    <w:rsid w:val="000B46D4"/>
    <w:rsid w:val="000B4CEF"/>
    <w:rsid w:val="000B4E74"/>
    <w:rsid w:val="000B5A4A"/>
    <w:rsid w:val="000B5BC6"/>
    <w:rsid w:val="000B64B6"/>
    <w:rsid w:val="000B7DD9"/>
    <w:rsid w:val="000C05D9"/>
    <w:rsid w:val="000C0C57"/>
    <w:rsid w:val="000C1543"/>
    <w:rsid w:val="000C1A2B"/>
    <w:rsid w:val="000C1CB6"/>
    <w:rsid w:val="000C1F0C"/>
    <w:rsid w:val="000C207D"/>
    <w:rsid w:val="000C269F"/>
    <w:rsid w:val="000C288E"/>
    <w:rsid w:val="000C29AD"/>
    <w:rsid w:val="000C2B44"/>
    <w:rsid w:val="000C3069"/>
    <w:rsid w:val="000C30FB"/>
    <w:rsid w:val="000C3CC0"/>
    <w:rsid w:val="000C633A"/>
    <w:rsid w:val="000C69C7"/>
    <w:rsid w:val="000C6B16"/>
    <w:rsid w:val="000C6B1C"/>
    <w:rsid w:val="000C6C7A"/>
    <w:rsid w:val="000C753E"/>
    <w:rsid w:val="000C7AFA"/>
    <w:rsid w:val="000D18C8"/>
    <w:rsid w:val="000D256B"/>
    <w:rsid w:val="000D2AFC"/>
    <w:rsid w:val="000D37E8"/>
    <w:rsid w:val="000D383E"/>
    <w:rsid w:val="000D3F34"/>
    <w:rsid w:val="000D4831"/>
    <w:rsid w:val="000D5357"/>
    <w:rsid w:val="000D6199"/>
    <w:rsid w:val="000D68EA"/>
    <w:rsid w:val="000D7473"/>
    <w:rsid w:val="000D7731"/>
    <w:rsid w:val="000D781F"/>
    <w:rsid w:val="000D7865"/>
    <w:rsid w:val="000D7D1A"/>
    <w:rsid w:val="000E09FF"/>
    <w:rsid w:val="000E103E"/>
    <w:rsid w:val="000E1209"/>
    <w:rsid w:val="000E12E4"/>
    <w:rsid w:val="000E13B0"/>
    <w:rsid w:val="000E1A77"/>
    <w:rsid w:val="000E2E13"/>
    <w:rsid w:val="000E2F5B"/>
    <w:rsid w:val="000E2F8D"/>
    <w:rsid w:val="000E380B"/>
    <w:rsid w:val="000E38E5"/>
    <w:rsid w:val="000E4228"/>
    <w:rsid w:val="000E4780"/>
    <w:rsid w:val="000E5B4A"/>
    <w:rsid w:val="000E5B73"/>
    <w:rsid w:val="000E6FE0"/>
    <w:rsid w:val="000E71C2"/>
    <w:rsid w:val="000E77D2"/>
    <w:rsid w:val="000F0A68"/>
    <w:rsid w:val="000F2E5C"/>
    <w:rsid w:val="000F30A8"/>
    <w:rsid w:val="000F30D5"/>
    <w:rsid w:val="000F368C"/>
    <w:rsid w:val="000F373F"/>
    <w:rsid w:val="000F3BE8"/>
    <w:rsid w:val="000F42D7"/>
    <w:rsid w:val="000F4405"/>
    <w:rsid w:val="000F4B14"/>
    <w:rsid w:val="000F4B9A"/>
    <w:rsid w:val="000F500F"/>
    <w:rsid w:val="000F54A2"/>
    <w:rsid w:val="000F59D6"/>
    <w:rsid w:val="000F5A0A"/>
    <w:rsid w:val="000F5C51"/>
    <w:rsid w:val="000F60B7"/>
    <w:rsid w:val="000F616B"/>
    <w:rsid w:val="000F66EC"/>
    <w:rsid w:val="000F6BFD"/>
    <w:rsid w:val="000F6CE6"/>
    <w:rsid w:val="000F7B92"/>
    <w:rsid w:val="000F7E12"/>
    <w:rsid w:val="00100426"/>
    <w:rsid w:val="00100551"/>
    <w:rsid w:val="00100DC5"/>
    <w:rsid w:val="00100E13"/>
    <w:rsid w:val="001013CD"/>
    <w:rsid w:val="00101A3A"/>
    <w:rsid w:val="00101B45"/>
    <w:rsid w:val="00102F9F"/>
    <w:rsid w:val="0010318E"/>
    <w:rsid w:val="00103642"/>
    <w:rsid w:val="00103B9D"/>
    <w:rsid w:val="00104C55"/>
    <w:rsid w:val="0010521F"/>
    <w:rsid w:val="0010581F"/>
    <w:rsid w:val="001064C1"/>
    <w:rsid w:val="00106FD3"/>
    <w:rsid w:val="00107C0D"/>
    <w:rsid w:val="00107EC2"/>
    <w:rsid w:val="00107FF2"/>
    <w:rsid w:val="00110A87"/>
    <w:rsid w:val="00110E35"/>
    <w:rsid w:val="00110F9C"/>
    <w:rsid w:val="0011124C"/>
    <w:rsid w:val="00111571"/>
    <w:rsid w:val="00111758"/>
    <w:rsid w:val="00111945"/>
    <w:rsid w:val="00111C07"/>
    <w:rsid w:val="00111E22"/>
    <w:rsid w:val="00111E87"/>
    <w:rsid w:val="00112CEB"/>
    <w:rsid w:val="001130A3"/>
    <w:rsid w:val="00113256"/>
    <w:rsid w:val="00114242"/>
    <w:rsid w:val="00114586"/>
    <w:rsid w:val="00115CD5"/>
    <w:rsid w:val="00115D6A"/>
    <w:rsid w:val="0011695D"/>
    <w:rsid w:val="00117871"/>
    <w:rsid w:val="001202B2"/>
    <w:rsid w:val="001204D7"/>
    <w:rsid w:val="001216C2"/>
    <w:rsid w:val="0012343D"/>
    <w:rsid w:val="0012344E"/>
    <w:rsid w:val="00123B38"/>
    <w:rsid w:val="0012446A"/>
    <w:rsid w:val="00124E2D"/>
    <w:rsid w:val="00124F66"/>
    <w:rsid w:val="001253AC"/>
    <w:rsid w:val="0012600E"/>
    <w:rsid w:val="00126A1A"/>
    <w:rsid w:val="00126D84"/>
    <w:rsid w:val="00126EE9"/>
    <w:rsid w:val="00126F2C"/>
    <w:rsid w:val="0012715F"/>
    <w:rsid w:val="00127509"/>
    <w:rsid w:val="00127847"/>
    <w:rsid w:val="00130A07"/>
    <w:rsid w:val="00130A82"/>
    <w:rsid w:val="001313A4"/>
    <w:rsid w:val="0013178A"/>
    <w:rsid w:val="001319FA"/>
    <w:rsid w:val="00131CC2"/>
    <w:rsid w:val="00132B66"/>
    <w:rsid w:val="00132D5E"/>
    <w:rsid w:val="00134EB8"/>
    <w:rsid w:val="00135BFF"/>
    <w:rsid w:val="00135F1B"/>
    <w:rsid w:val="00136068"/>
    <w:rsid w:val="001365E2"/>
    <w:rsid w:val="00137454"/>
    <w:rsid w:val="001377A6"/>
    <w:rsid w:val="00137DAF"/>
    <w:rsid w:val="0014097A"/>
    <w:rsid w:val="001419E2"/>
    <w:rsid w:val="00141D9C"/>
    <w:rsid w:val="001424F9"/>
    <w:rsid w:val="00142D88"/>
    <w:rsid w:val="00143641"/>
    <w:rsid w:val="00143856"/>
    <w:rsid w:val="001450D9"/>
    <w:rsid w:val="001455B7"/>
    <w:rsid w:val="001462FD"/>
    <w:rsid w:val="00146592"/>
    <w:rsid w:val="0014659F"/>
    <w:rsid w:val="001473E8"/>
    <w:rsid w:val="001476CE"/>
    <w:rsid w:val="00147795"/>
    <w:rsid w:val="001504EF"/>
    <w:rsid w:val="00150B04"/>
    <w:rsid w:val="0015179D"/>
    <w:rsid w:val="0015182C"/>
    <w:rsid w:val="00151C21"/>
    <w:rsid w:val="001526FB"/>
    <w:rsid w:val="00152706"/>
    <w:rsid w:val="00152948"/>
    <w:rsid w:val="00152D9D"/>
    <w:rsid w:val="00153003"/>
    <w:rsid w:val="00153072"/>
    <w:rsid w:val="00153C2D"/>
    <w:rsid w:val="00153F25"/>
    <w:rsid w:val="00154236"/>
    <w:rsid w:val="00154791"/>
    <w:rsid w:val="0015618D"/>
    <w:rsid w:val="00156473"/>
    <w:rsid w:val="0015664B"/>
    <w:rsid w:val="00156919"/>
    <w:rsid w:val="00156E65"/>
    <w:rsid w:val="00156F31"/>
    <w:rsid w:val="00160697"/>
    <w:rsid w:val="0016219A"/>
    <w:rsid w:val="001624CC"/>
    <w:rsid w:val="0016332D"/>
    <w:rsid w:val="00163525"/>
    <w:rsid w:val="00163D1D"/>
    <w:rsid w:val="0016418D"/>
    <w:rsid w:val="0016425B"/>
    <w:rsid w:val="001644E0"/>
    <w:rsid w:val="001646E3"/>
    <w:rsid w:val="00164DF1"/>
    <w:rsid w:val="00166469"/>
    <w:rsid w:val="00166734"/>
    <w:rsid w:val="00166C91"/>
    <w:rsid w:val="00170A88"/>
    <w:rsid w:val="0017102F"/>
    <w:rsid w:val="0017125C"/>
    <w:rsid w:val="001718BA"/>
    <w:rsid w:val="001719A2"/>
    <w:rsid w:val="00171ADF"/>
    <w:rsid w:val="00172238"/>
    <w:rsid w:val="0017245E"/>
    <w:rsid w:val="00172A89"/>
    <w:rsid w:val="00173672"/>
    <w:rsid w:val="00173905"/>
    <w:rsid w:val="00174650"/>
    <w:rsid w:val="00174A6C"/>
    <w:rsid w:val="001755BA"/>
    <w:rsid w:val="001758D3"/>
    <w:rsid w:val="001761C7"/>
    <w:rsid w:val="00177297"/>
    <w:rsid w:val="00177A74"/>
    <w:rsid w:val="00180022"/>
    <w:rsid w:val="001802C4"/>
    <w:rsid w:val="0018088E"/>
    <w:rsid w:val="00181504"/>
    <w:rsid w:val="001823CB"/>
    <w:rsid w:val="00182D50"/>
    <w:rsid w:val="00184F73"/>
    <w:rsid w:val="00185CDC"/>
    <w:rsid w:val="00185E49"/>
    <w:rsid w:val="00186C92"/>
    <w:rsid w:val="001872D9"/>
    <w:rsid w:val="00190168"/>
    <w:rsid w:val="001913FD"/>
    <w:rsid w:val="0019165A"/>
    <w:rsid w:val="00191821"/>
    <w:rsid w:val="00192072"/>
    <w:rsid w:val="00193125"/>
    <w:rsid w:val="001932F4"/>
    <w:rsid w:val="00193D4C"/>
    <w:rsid w:val="0019485F"/>
    <w:rsid w:val="0019536B"/>
    <w:rsid w:val="0019597D"/>
    <w:rsid w:val="0019615A"/>
    <w:rsid w:val="00196A18"/>
    <w:rsid w:val="00196DCD"/>
    <w:rsid w:val="00197AE5"/>
    <w:rsid w:val="00197CFF"/>
    <w:rsid w:val="001A0D12"/>
    <w:rsid w:val="001A14A3"/>
    <w:rsid w:val="001A3356"/>
    <w:rsid w:val="001A3381"/>
    <w:rsid w:val="001A458C"/>
    <w:rsid w:val="001A4B71"/>
    <w:rsid w:val="001A527D"/>
    <w:rsid w:val="001A5FCF"/>
    <w:rsid w:val="001A69B5"/>
    <w:rsid w:val="001A6A52"/>
    <w:rsid w:val="001A6F25"/>
    <w:rsid w:val="001B0283"/>
    <w:rsid w:val="001B069E"/>
    <w:rsid w:val="001B0A3D"/>
    <w:rsid w:val="001B0A5F"/>
    <w:rsid w:val="001B1438"/>
    <w:rsid w:val="001B15B8"/>
    <w:rsid w:val="001B1A2D"/>
    <w:rsid w:val="001B1CA9"/>
    <w:rsid w:val="001B2963"/>
    <w:rsid w:val="001B2D8B"/>
    <w:rsid w:val="001B3167"/>
    <w:rsid w:val="001B337A"/>
    <w:rsid w:val="001B3774"/>
    <w:rsid w:val="001B4945"/>
    <w:rsid w:val="001B516A"/>
    <w:rsid w:val="001B7829"/>
    <w:rsid w:val="001B7D33"/>
    <w:rsid w:val="001C02F3"/>
    <w:rsid w:val="001C05D0"/>
    <w:rsid w:val="001C0817"/>
    <w:rsid w:val="001C0CB2"/>
    <w:rsid w:val="001C119B"/>
    <w:rsid w:val="001C15F0"/>
    <w:rsid w:val="001C1F13"/>
    <w:rsid w:val="001C2990"/>
    <w:rsid w:val="001C2D44"/>
    <w:rsid w:val="001C2DA3"/>
    <w:rsid w:val="001C3652"/>
    <w:rsid w:val="001C36D8"/>
    <w:rsid w:val="001C3ACE"/>
    <w:rsid w:val="001C40CA"/>
    <w:rsid w:val="001C4326"/>
    <w:rsid w:val="001C52C7"/>
    <w:rsid w:val="001C555D"/>
    <w:rsid w:val="001C694D"/>
    <w:rsid w:val="001C6BEC"/>
    <w:rsid w:val="001C6E61"/>
    <w:rsid w:val="001C7661"/>
    <w:rsid w:val="001D0E3C"/>
    <w:rsid w:val="001D1160"/>
    <w:rsid w:val="001D138C"/>
    <w:rsid w:val="001D153C"/>
    <w:rsid w:val="001D1BBD"/>
    <w:rsid w:val="001D1BF8"/>
    <w:rsid w:val="001D1DD6"/>
    <w:rsid w:val="001D22B3"/>
    <w:rsid w:val="001D2A7D"/>
    <w:rsid w:val="001D2EBB"/>
    <w:rsid w:val="001D3032"/>
    <w:rsid w:val="001D3B1E"/>
    <w:rsid w:val="001D45C0"/>
    <w:rsid w:val="001D460D"/>
    <w:rsid w:val="001D6E3F"/>
    <w:rsid w:val="001D6E74"/>
    <w:rsid w:val="001E047F"/>
    <w:rsid w:val="001E088D"/>
    <w:rsid w:val="001E1432"/>
    <w:rsid w:val="001E151C"/>
    <w:rsid w:val="001E1938"/>
    <w:rsid w:val="001E27C3"/>
    <w:rsid w:val="001E2D8D"/>
    <w:rsid w:val="001E30F9"/>
    <w:rsid w:val="001E31FA"/>
    <w:rsid w:val="001E32B5"/>
    <w:rsid w:val="001E3EB8"/>
    <w:rsid w:val="001E4871"/>
    <w:rsid w:val="001E6676"/>
    <w:rsid w:val="001E6CC9"/>
    <w:rsid w:val="001E6CF0"/>
    <w:rsid w:val="001E6DCF"/>
    <w:rsid w:val="001E78AE"/>
    <w:rsid w:val="001F06E6"/>
    <w:rsid w:val="001F1604"/>
    <w:rsid w:val="001F18EA"/>
    <w:rsid w:val="001F18FE"/>
    <w:rsid w:val="001F1990"/>
    <w:rsid w:val="001F1DE9"/>
    <w:rsid w:val="001F20A4"/>
    <w:rsid w:val="001F20DA"/>
    <w:rsid w:val="001F23EB"/>
    <w:rsid w:val="001F3196"/>
    <w:rsid w:val="001F4429"/>
    <w:rsid w:val="001F4932"/>
    <w:rsid w:val="001F534E"/>
    <w:rsid w:val="001F5A20"/>
    <w:rsid w:val="001F5A3B"/>
    <w:rsid w:val="001F5AFF"/>
    <w:rsid w:val="001F62F8"/>
    <w:rsid w:val="001F6581"/>
    <w:rsid w:val="001F6855"/>
    <w:rsid w:val="001F6A30"/>
    <w:rsid w:val="001F74D3"/>
    <w:rsid w:val="001F7587"/>
    <w:rsid w:val="001F7F0D"/>
    <w:rsid w:val="00200EB1"/>
    <w:rsid w:val="002017D7"/>
    <w:rsid w:val="00201843"/>
    <w:rsid w:val="00201ECF"/>
    <w:rsid w:val="00202086"/>
    <w:rsid w:val="00202224"/>
    <w:rsid w:val="0020284B"/>
    <w:rsid w:val="0020295B"/>
    <w:rsid w:val="00202D7D"/>
    <w:rsid w:val="00202EDF"/>
    <w:rsid w:val="00202F06"/>
    <w:rsid w:val="002031B3"/>
    <w:rsid w:val="00203B2C"/>
    <w:rsid w:val="00203C95"/>
    <w:rsid w:val="002043A4"/>
    <w:rsid w:val="002056BE"/>
    <w:rsid w:val="00205BBA"/>
    <w:rsid w:val="00206142"/>
    <w:rsid w:val="00206C5F"/>
    <w:rsid w:val="00206CF6"/>
    <w:rsid w:val="00207240"/>
    <w:rsid w:val="00207CBF"/>
    <w:rsid w:val="00207F74"/>
    <w:rsid w:val="00210818"/>
    <w:rsid w:val="00211170"/>
    <w:rsid w:val="002113AA"/>
    <w:rsid w:val="002118B4"/>
    <w:rsid w:val="00211E8A"/>
    <w:rsid w:val="00211FB7"/>
    <w:rsid w:val="002123BA"/>
    <w:rsid w:val="002125CB"/>
    <w:rsid w:val="00212A1E"/>
    <w:rsid w:val="00212E07"/>
    <w:rsid w:val="00212EDB"/>
    <w:rsid w:val="00213032"/>
    <w:rsid w:val="002131A7"/>
    <w:rsid w:val="002144F0"/>
    <w:rsid w:val="00214718"/>
    <w:rsid w:val="00214A25"/>
    <w:rsid w:val="002150A1"/>
    <w:rsid w:val="002159C1"/>
    <w:rsid w:val="00216CEF"/>
    <w:rsid w:val="00217101"/>
    <w:rsid w:val="00220186"/>
    <w:rsid w:val="00220477"/>
    <w:rsid w:val="002205D1"/>
    <w:rsid w:val="00220C5B"/>
    <w:rsid w:val="00222C4F"/>
    <w:rsid w:val="00223045"/>
    <w:rsid w:val="002235BB"/>
    <w:rsid w:val="00224930"/>
    <w:rsid w:val="00224E12"/>
    <w:rsid w:val="00225122"/>
    <w:rsid w:val="002251F6"/>
    <w:rsid w:val="00225615"/>
    <w:rsid w:val="0022565D"/>
    <w:rsid w:val="00226224"/>
    <w:rsid w:val="00226AD4"/>
    <w:rsid w:val="00226C96"/>
    <w:rsid w:val="00226EB5"/>
    <w:rsid w:val="0022771A"/>
    <w:rsid w:val="00227D1B"/>
    <w:rsid w:val="00230AEF"/>
    <w:rsid w:val="00230CCD"/>
    <w:rsid w:val="002318FA"/>
    <w:rsid w:val="00231FA5"/>
    <w:rsid w:val="00232FC3"/>
    <w:rsid w:val="0023344D"/>
    <w:rsid w:val="00233489"/>
    <w:rsid w:val="0023373E"/>
    <w:rsid w:val="00233F8F"/>
    <w:rsid w:val="00234C25"/>
    <w:rsid w:val="00234E97"/>
    <w:rsid w:val="00235FDD"/>
    <w:rsid w:val="00236317"/>
    <w:rsid w:val="00236A8A"/>
    <w:rsid w:val="00236A99"/>
    <w:rsid w:val="00237923"/>
    <w:rsid w:val="002403DD"/>
    <w:rsid w:val="002408AA"/>
    <w:rsid w:val="0024248B"/>
    <w:rsid w:val="00242A3F"/>
    <w:rsid w:val="00242A8E"/>
    <w:rsid w:val="002431EF"/>
    <w:rsid w:val="00243245"/>
    <w:rsid w:val="0024331D"/>
    <w:rsid w:val="00243965"/>
    <w:rsid w:val="002440D8"/>
    <w:rsid w:val="00244F52"/>
    <w:rsid w:val="00246F2B"/>
    <w:rsid w:val="00247767"/>
    <w:rsid w:val="00250DEE"/>
    <w:rsid w:val="00251067"/>
    <w:rsid w:val="00251800"/>
    <w:rsid w:val="00252AB3"/>
    <w:rsid w:val="00252DC2"/>
    <w:rsid w:val="002537EF"/>
    <w:rsid w:val="00253842"/>
    <w:rsid w:val="00254387"/>
    <w:rsid w:val="002554C2"/>
    <w:rsid w:val="00256181"/>
    <w:rsid w:val="00256531"/>
    <w:rsid w:val="002568EE"/>
    <w:rsid w:val="00256BFB"/>
    <w:rsid w:val="00256C79"/>
    <w:rsid w:val="0025732A"/>
    <w:rsid w:val="00257CF3"/>
    <w:rsid w:val="00261349"/>
    <w:rsid w:val="00261B0D"/>
    <w:rsid w:val="0026330C"/>
    <w:rsid w:val="00263990"/>
    <w:rsid w:val="00264B0A"/>
    <w:rsid w:val="00264E0E"/>
    <w:rsid w:val="00264EA8"/>
    <w:rsid w:val="00267357"/>
    <w:rsid w:val="0026760A"/>
    <w:rsid w:val="002704B5"/>
    <w:rsid w:val="00270542"/>
    <w:rsid w:val="002710B2"/>
    <w:rsid w:val="002719C0"/>
    <w:rsid w:val="00271D02"/>
    <w:rsid w:val="00271DA9"/>
    <w:rsid w:val="0027235E"/>
    <w:rsid w:val="00272B3F"/>
    <w:rsid w:val="0027365B"/>
    <w:rsid w:val="00274776"/>
    <w:rsid w:val="00274835"/>
    <w:rsid w:val="00274FEA"/>
    <w:rsid w:val="00275146"/>
    <w:rsid w:val="002765B1"/>
    <w:rsid w:val="002768F2"/>
    <w:rsid w:val="0028007E"/>
    <w:rsid w:val="00280261"/>
    <w:rsid w:val="00280A6D"/>
    <w:rsid w:val="00280CC7"/>
    <w:rsid w:val="00281673"/>
    <w:rsid w:val="0028271A"/>
    <w:rsid w:val="00282A95"/>
    <w:rsid w:val="00283676"/>
    <w:rsid w:val="00284AD4"/>
    <w:rsid w:val="00284C6F"/>
    <w:rsid w:val="00284F48"/>
    <w:rsid w:val="00284FD6"/>
    <w:rsid w:val="00285ECE"/>
    <w:rsid w:val="00286137"/>
    <w:rsid w:val="00286BBA"/>
    <w:rsid w:val="00287671"/>
    <w:rsid w:val="00287EDC"/>
    <w:rsid w:val="00290ABA"/>
    <w:rsid w:val="00292357"/>
    <w:rsid w:val="0029427D"/>
    <w:rsid w:val="00294B15"/>
    <w:rsid w:val="0029574E"/>
    <w:rsid w:val="00295847"/>
    <w:rsid w:val="00296009"/>
    <w:rsid w:val="00296226"/>
    <w:rsid w:val="00296454"/>
    <w:rsid w:val="002964FF"/>
    <w:rsid w:val="002965DE"/>
    <w:rsid w:val="0029708B"/>
    <w:rsid w:val="002971C1"/>
    <w:rsid w:val="00297570"/>
    <w:rsid w:val="002975D8"/>
    <w:rsid w:val="002976B1"/>
    <w:rsid w:val="00297CB2"/>
    <w:rsid w:val="002A03DE"/>
    <w:rsid w:val="002A08DE"/>
    <w:rsid w:val="002A108F"/>
    <w:rsid w:val="002A17DB"/>
    <w:rsid w:val="002A2B48"/>
    <w:rsid w:val="002A31C9"/>
    <w:rsid w:val="002A33CE"/>
    <w:rsid w:val="002A3817"/>
    <w:rsid w:val="002A385A"/>
    <w:rsid w:val="002A4A02"/>
    <w:rsid w:val="002A50EC"/>
    <w:rsid w:val="002A5280"/>
    <w:rsid w:val="002A5FA4"/>
    <w:rsid w:val="002A61EC"/>
    <w:rsid w:val="002A6541"/>
    <w:rsid w:val="002A6561"/>
    <w:rsid w:val="002A6D20"/>
    <w:rsid w:val="002A780A"/>
    <w:rsid w:val="002B0B73"/>
    <w:rsid w:val="002B1369"/>
    <w:rsid w:val="002B386F"/>
    <w:rsid w:val="002B3BFD"/>
    <w:rsid w:val="002B4CB1"/>
    <w:rsid w:val="002B500B"/>
    <w:rsid w:val="002B52E7"/>
    <w:rsid w:val="002B56CC"/>
    <w:rsid w:val="002B5F3A"/>
    <w:rsid w:val="002B64D7"/>
    <w:rsid w:val="002C0019"/>
    <w:rsid w:val="002C0456"/>
    <w:rsid w:val="002C0BCF"/>
    <w:rsid w:val="002C0C63"/>
    <w:rsid w:val="002C10AC"/>
    <w:rsid w:val="002C2D78"/>
    <w:rsid w:val="002C3CCD"/>
    <w:rsid w:val="002C3E34"/>
    <w:rsid w:val="002C472B"/>
    <w:rsid w:val="002C48BC"/>
    <w:rsid w:val="002C4DDB"/>
    <w:rsid w:val="002C52DF"/>
    <w:rsid w:val="002C61F3"/>
    <w:rsid w:val="002C6258"/>
    <w:rsid w:val="002C667B"/>
    <w:rsid w:val="002C697D"/>
    <w:rsid w:val="002C69E1"/>
    <w:rsid w:val="002D0EAC"/>
    <w:rsid w:val="002D10F6"/>
    <w:rsid w:val="002D16B7"/>
    <w:rsid w:val="002D1B43"/>
    <w:rsid w:val="002D2086"/>
    <w:rsid w:val="002D254E"/>
    <w:rsid w:val="002D320D"/>
    <w:rsid w:val="002D3CD3"/>
    <w:rsid w:val="002D4011"/>
    <w:rsid w:val="002D42B7"/>
    <w:rsid w:val="002D47D4"/>
    <w:rsid w:val="002D4DB6"/>
    <w:rsid w:val="002D4F59"/>
    <w:rsid w:val="002D50CC"/>
    <w:rsid w:val="002D5B68"/>
    <w:rsid w:val="002D62A9"/>
    <w:rsid w:val="002D7821"/>
    <w:rsid w:val="002D7BB4"/>
    <w:rsid w:val="002D7BC4"/>
    <w:rsid w:val="002D7D51"/>
    <w:rsid w:val="002E02BA"/>
    <w:rsid w:val="002E0571"/>
    <w:rsid w:val="002E083C"/>
    <w:rsid w:val="002E29E7"/>
    <w:rsid w:val="002E38E5"/>
    <w:rsid w:val="002E419E"/>
    <w:rsid w:val="002E4A86"/>
    <w:rsid w:val="002E4EE1"/>
    <w:rsid w:val="002E52CC"/>
    <w:rsid w:val="002E560F"/>
    <w:rsid w:val="002E578C"/>
    <w:rsid w:val="002E5E78"/>
    <w:rsid w:val="002E6A41"/>
    <w:rsid w:val="002E7D78"/>
    <w:rsid w:val="002F0729"/>
    <w:rsid w:val="002F0835"/>
    <w:rsid w:val="002F0F3B"/>
    <w:rsid w:val="002F1871"/>
    <w:rsid w:val="002F1B64"/>
    <w:rsid w:val="002F1C12"/>
    <w:rsid w:val="002F2265"/>
    <w:rsid w:val="002F3251"/>
    <w:rsid w:val="002F3B0E"/>
    <w:rsid w:val="002F4629"/>
    <w:rsid w:val="002F4E54"/>
    <w:rsid w:val="002F553A"/>
    <w:rsid w:val="002F5830"/>
    <w:rsid w:val="002F58C1"/>
    <w:rsid w:val="002F5E17"/>
    <w:rsid w:val="002F636A"/>
    <w:rsid w:val="002F662C"/>
    <w:rsid w:val="002F7592"/>
    <w:rsid w:val="0030046E"/>
    <w:rsid w:val="00300B31"/>
    <w:rsid w:val="00301961"/>
    <w:rsid w:val="00301FA3"/>
    <w:rsid w:val="003021AF"/>
    <w:rsid w:val="003025FE"/>
    <w:rsid w:val="003026F0"/>
    <w:rsid w:val="003031D2"/>
    <w:rsid w:val="0030372F"/>
    <w:rsid w:val="00303A0B"/>
    <w:rsid w:val="00303C49"/>
    <w:rsid w:val="00304530"/>
    <w:rsid w:val="00304AD7"/>
    <w:rsid w:val="003051B6"/>
    <w:rsid w:val="00306397"/>
    <w:rsid w:val="003063A0"/>
    <w:rsid w:val="00306507"/>
    <w:rsid w:val="00306682"/>
    <w:rsid w:val="00306A1A"/>
    <w:rsid w:val="00306B94"/>
    <w:rsid w:val="00307017"/>
    <w:rsid w:val="00307182"/>
    <w:rsid w:val="00307B0D"/>
    <w:rsid w:val="00307C51"/>
    <w:rsid w:val="00311A37"/>
    <w:rsid w:val="00312087"/>
    <w:rsid w:val="0031255A"/>
    <w:rsid w:val="00312655"/>
    <w:rsid w:val="00312766"/>
    <w:rsid w:val="003129BE"/>
    <w:rsid w:val="00312B25"/>
    <w:rsid w:val="003135B6"/>
    <w:rsid w:val="00314CCC"/>
    <w:rsid w:val="003150BA"/>
    <w:rsid w:val="003151AD"/>
    <w:rsid w:val="00316058"/>
    <w:rsid w:val="0031632F"/>
    <w:rsid w:val="0032074B"/>
    <w:rsid w:val="00322466"/>
    <w:rsid w:val="00322835"/>
    <w:rsid w:val="003230C1"/>
    <w:rsid w:val="003232B4"/>
    <w:rsid w:val="0032408B"/>
    <w:rsid w:val="00324664"/>
    <w:rsid w:val="00324E68"/>
    <w:rsid w:val="00325540"/>
    <w:rsid w:val="00325C3D"/>
    <w:rsid w:val="00326743"/>
    <w:rsid w:val="00326DDD"/>
    <w:rsid w:val="00327B02"/>
    <w:rsid w:val="0033003C"/>
    <w:rsid w:val="00330CB6"/>
    <w:rsid w:val="00331946"/>
    <w:rsid w:val="003319A7"/>
    <w:rsid w:val="0033225D"/>
    <w:rsid w:val="003328A8"/>
    <w:rsid w:val="00332DCF"/>
    <w:rsid w:val="00332E86"/>
    <w:rsid w:val="003333F7"/>
    <w:rsid w:val="003340DD"/>
    <w:rsid w:val="0033418F"/>
    <w:rsid w:val="003342A7"/>
    <w:rsid w:val="0033441C"/>
    <w:rsid w:val="00334C16"/>
    <w:rsid w:val="00334DAB"/>
    <w:rsid w:val="00334E7E"/>
    <w:rsid w:val="003352BB"/>
    <w:rsid w:val="00335500"/>
    <w:rsid w:val="00335657"/>
    <w:rsid w:val="003362B5"/>
    <w:rsid w:val="003377BF"/>
    <w:rsid w:val="00337F13"/>
    <w:rsid w:val="0034031E"/>
    <w:rsid w:val="00340524"/>
    <w:rsid w:val="003405A3"/>
    <w:rsid w:val="00340DB5"/>
    <w:rsid w:val="003420E3"/>
    <w:rsid w:val="00342183"/>
    <w:rsid w:val="003427A6"/>
    <w:rsid w:val="00342A02"/>
    <w:rsid w:val="00342D1C"/>
    <w:rsid w:val="00343000"/>
    <w:rsid w:val="003430D8"/>
    <w:rsid w:val="0034353E"/>
    <w:rsid w:val="00344938"/>
    <w:rsid w:val="003455E3"/>
    <w:rsid w:val="00345C55"/>
    <w:rsid w:val="0034693A"/>
    <w:rsid w:val="00346B35"/>
    <w:rsid w:val="00347C56"/>
    <w:rsid w:val="00350457"/>
    <w:rsid w:val="0035058D"/>
    <w:rsid w:val="003505EC"/>
    <w:rsid w:val="00351C3B"/>
    <w:rsid w:val="003530D3"/>
    <w:rsid w:val="003537A4"/>
    <w:rsid w:val="003545B6"/>
    <w:rsid w:val="0035461C"/>
    <w:rsid w:val="003551EB"/>
    <w:rsid w:val="00357065"/>
    <w:rsid w:val="00357429"/>
    <w:rsid w:val="003579ED"/>
    <w:rsid w:val="003600EE"/>
    <w:rsid w:val="003609CD"/>
    <w:rsid w:val="00360BF9"/>
    <w:rsid w:val="0036148F"/>
    <w:rsid w:val="00361892"/>
    <w:rsid w:val="00361A76"/>
    <w:rsid w:val="00361F4E"/>
    <w:rsid w:val="00362752"/>
    <w:rsid w:val="003631B8"/>
    <w:rsid w:val="00363C48"/>
    <w:rsid w:val="00363CC7"/>
    <w:rsid w:val="00364BD7"/>
    <w:rsid w:val="003656C7"/>
    <w:rsid w:val="00365EE4"/>
    <w:rsid w:val="00365FCE"/>
    <w:rsid w:val="00366144"/>
    <w:rsid w:val="00366152"/>
    <w:rsid w:val="00370F95"/>
    <w:rsid w:val="00371617"/>
    <w:rsid w:val="00372D34"/>
    <w:rsid w:val="00372DC4"/>
    <w:rsid w:val="00372F81"/>
    <w:rsid w:val="00373119"/>
    <w:rsid w:val="003748E1"/>
    <w:rsid w:val="00374D0D"/>
    <w:rsid w:val="003758CE"/>
    <w:rsid w:val="00375DF7"/>
    <w:rsid w:val="0037626A"/>
    <w:rsid w:val="003771A4"/>
    <w:rsid w:val="003772EC"/>
    <w:rsid w:val="003777AA"/>
    <w:rsid w:val="00377924"/>
    <w:rsid w:val="00377A14"/>
    <w:rsid w:val="0038043B"/>
    <w:rsid w:val="0038065E"/>
    <w:rsid w:val="00380A5A"/>
    <w:rsid w:val="00380F44"/>
    <w:rsid w:val="003834AB"/>
    <w:rsid w:val="003838CB"/>
    <w:rsid w:val="003840C4"/>
    <w:rsid w:val="00384587"/>
    <w:rsid w:val="00384995"/>
    <w:rsid w:val="00384AA7"/>
    <w:rsid w:val="003850EA"/>
    <w:rsid w:val="00385C11"/>
    <w:rsid w:val="00385F4A"/>
    <w:rsid w:val="00386528"/>
    <w:rsid w:val="0038657F"/>
    <w:rsid w:val="0038714A"/>
    <w:rsid w:val="00387604"/>
    <w:rsid w:val="00387D84"/>
    <w:rsid w:val="003907A4"/>
    <w:rsid w:val="00391289"/>
    <w:rsid w:val="0039175A"/>
    <w:rsid w:val="003943A2"/>
    <w:rsid w:val="0039440A"/>
    <w:rsid w:val="0039448F"/>
    <w:rsid w:val="003949A0"/>
    <w:rsid w:val="00394C87"/>
    <w:rsid w:val="003952D0"/>
    <w:rsid w:val="0039597B"/>
    <w:rsid w:val="00395C45"/>
    <w:rsid w:val="0039764B"/>
    <w:rsid w:val="003A195A"/>
    <w:rsid w:val="003A1995"/>
    <w:rsid w:val="003A28A1"/>
    <w:rsid w:val="003A2D2B"/>
    <w:rsid w:val="003A2EF1"/>
    <w:rsid w:val="003A2F49"/>
    <w:rsid w:val="003A3094"/>
    <w:rsid w:val="003A3A18"/>
    <w:rsid w:val="003A3BE8"/>
    <w:rsid w:val="003A3C32"/>
    <w:rsid w:val="003A3D9D"/>
    <w:rsid w:val="003A425C"/>
    <w:rsid w:val="003A587B"/>
    <w:rsid w:val="003A589C"/>
    <w:rsid w:val="003A5C42"/>
    <w:rsid w:val="003A6446"/>
    <w:rsid w:val="003A6572"/>
    <w:rsid w:val="003A6B07"/>
    <w:rsid w:val="003A72A9"/>
    <w:rsid w:val="003A767D"/>
    <w:rsid w:val="003B00DF"/>
    <w:rsid w:val="003B0179"/>
    <w:rsid w:val="003B065E"/>
    <w:rsid w:val="003B13C4"/>
    <w:rsid w:val="003B18B4"/>
    <w:rsid w:val="003B204C"/>
    <w:rsid w:val="003B30E5"/>
    <w:rsid w:val="003B34A2"/>
    <w:rsid w:val="003B53CA"/>
    <w:rsid w:val="003B5A65"/>
    <w:rsid w:val="003B5B3C"/>
    <w:rsid w:val="003B6711"/>
    <w:rsid w:val="003B67E6"/>
    <w:rsid w:val="003B6C06"/>
    <w:rsid w:val="003B7544"/>
    <w:rsid w:val="003B7A7B"/>
    <w:rsid w:val="003C0010"/>
    <w:rsid w:val="003C05EC"/>
    <w:rsid w:val="003C09ED"/>
    <w:rsid w:val="003C1376"/>
    <w:rsid w:val="003C1B2D"/>
    <w:rsid w:val="003C1CE1"/>
    <w:rsid w:val="003C1E14"/>
    <w:rsid w:val="003C2493"/>
    <w:rsid w:val="003C3F37"/>
    <w:rsid w:val="003C4323"/>
    <w:rsid w:val="003C442B"/>
    <w:rsid w:val="003C5750"/>
    <w:rsid w:val="003C59B4"/>
    <w:rsid w:val="003C5DF6"/>
    <w:rsid w:val="003C5F96"/>
    <w:rsid w:val="003C616D"/>
    <w:rsid w:val="003C69BA"/>
    <w:rsid w:val="003C708B"/>
    <w:rsid w:val="003D118F"/>
    <w:rsid w:val="003D1366"/>
    <w:rsid w:val="003D2931"/>
    <w:rsid w:val="003D2C6C"/>
    <w:rsid w:val="003D31FD"/>
    <w:rsid w:val="003D432B"/>
    <w:rsid w:val="003D46E4"/>
    <w:rsid w:val="003D75FD"/>
    <w:rsid w:val="003D7665"/>
    <w:rsid w:val="003E01C1"/>
    <w:rsid w:val="003E0724"/>
    <w:rsid w:val="003E12C3"/>
    <w:rsid w:val="003E168F"/>
    <w:rsid w:val="003E1712"/>
    <w:rsid w:val="003E1FAA"/>
    <w:rsid w:val="003E2436"/>
    <w:rsid w:val="003E288B"/>
    <w:rsid w:val="003E38D1"/>
    <w:rsid w:val="003E46C5"/>
    <w:rsid w:val="003E4DE0"/>
    <w:rsid w:val="003E4E58"/>
    <w:rsid w:val="003E4EEA"/>
    <w:rsid w:val="003E4FFF"/>
    <w:rsid w:val="003E530B"/>
    <w:rsid w:val="003E63A6"/>
    <w:rsid w:val="003E65DB"/>
    <w:rsid w:val="003E7613"/>
    <w:rsid w:val="003E7A9B"/>
    <w:rsid w:val="003E7F7B"/>
    <w:rsid w:val="003F04A8"/>
    <w:rsid w:val="003F0726"/>
    <w:rsid w:val="003F1875"/>
    <w:rsid w:val="003F1F1C"/>
    <w:rsid w:val="003F1F3B"/>
    <w:rsid w:val="003F419F"/>
    <w:rsid w:val="003F44D5"/>
    <w:rsid w:val="003F51D0"/>
    <w:rsid w:val="003F68E7"/>
    <w:rsid w:val="003F6F64"/>
    <w:rsid w:val="003F73D7"/>
    <w:rsid w:val="00401146"/>
    <w:rsid w:val="004012D7"/>
    <w:rsid w:val="00401476"/>
    <w:rsid w:val="004014FA"/>
    <w:rsid w:val="0040156D"/>
    <w:rsid w:val="004018D9"/>
    <w:rsid w:val="004019A4"/>
    <w:rsid w:val="00402133"/>
    <w:rsid w:val="00402475"/>
    <w:rsid w:val="0040320C"/>
    <w:rsid w:val="00404261"/>
    <w:rsid w:val="00406A1F"/>
    <w:rsid w:val="00410C6F"/>
    <w:rsid w:val="00410CE3"/>
    <w:rsid w:val="00410DDD"/>
    <w:rsid w:val="00411737"/>
    <w:rsid w:val="00411EED"/>
    <w:rsid w:val="00412125"/>
    <w:rsid w:val="00412170"/>
    <w:rsid w:val="00413872"/>
    <w:rsid w:val="00414271"/>
    <w:rsid w:val="00414303"/>
    <w:rsid w:val="00415801"/>
    <w:rsid w:val="00415872"/>
    <w:rsid w:val="00415CB3"/>
    <w:rsid w:val="00415D06"/>
    <w:rsid w:val="0041632B"/>
    <w:rsid w:val="0041680E"/>
    <w:rsid w:val="00416BF2"/>
    <w:rsid w:val="004205B7"/>
    <w:rsid w:val="00420794"/>
    <w:rsid w:val="00421E1E"/>
    <w:rsid w:val="004220B3"/>
    <w:rsid w:val="00422C0A"/>
    <w:rsid w:val="00422C15"/>
    <w:rsid w:val="004230E4"/>
    <w:rsid w:val="0042328B"/>
    <w:rsid w:val="00423F59"/>
    <w:rsid w:val="00424740"/>
    <w:rsid w:val="00424A5F"/>
    <w:rsid w:val="00424C55"/>
    <w:rsid w:val="00424C8C"/>
    <w:rsid w:val="004267DC"/>
    <w:rsid w:val="0042695F"/>
    <w:rsid w:val="004269DE"/>
    <w:rsid w:val="00426DB5"/>
    <w:rsid w:val="004315D0"/>
    <w:rsid w:val="0043194A"/>
    <w:rsid w:val="00431C94"/>
    <w:rsid w:val="004326EE"/>
    <w:rsid w:val="00432C56"/>
    <w:rsid w:val="00433B91"/>
    <w:rsid w:val="00434203"/>
    <w:rsid w:val="00434790"/>
    <w:rsid w:val="0043497A"/>
    <w:rsid w:val="00434A36"/>
    <w:rsid w:val="00434D6D"/>
    <w:rsid w:val="004371CF"/>
    <w:rsid w:val="004379F0"/>
    <w:rsid w:val="00440001"/>
    <w:rsid w:val="004402CF"/>
    <w:rsid w:val="00440C15"/>
    <w:rsid w:val="00442312"/>
    <w:rsid w:val="00442317"/>
    <w:rsid w:val="00442723"/>
    <w:rsid w:val="00442D70"/>
    <w:rsid w:val="004432DE"/>
    <w:rsid w:val="004439CE"/>
    <w:rsid w:val="004449A6"/>
    <w:rsid w:val="00444D92"/>
    <w:rsid w:val="00445377"/>
    <w:rsid w:val="0044647C"/>
    <w:rsid w:val="0044650A"/>
    <w:rsid w:val="004466EC"/>
    <w:rsid w:val="00447181"/>
    <w:rsid w:val="00447275"/>
    <w:rsid w:val="004507AD"/>
    <w:rsid w:val="00450A7B"/>
    <w:rsid w:val="00450D83"/>
    <w:rsid w:val="0045104D"/>
    <w:rsid w:val="00451E4E"/>
    <w:rsid w:val="00451FFB"/>
    <w:rsid w:val="00452B07"/>
    <w:rsid w:val="00452D40"/>
    <w:rsid w:val="0045368D"/>
    <w:rsid w:val="00453783"/>
    <w:rsid w:val="00453807"/>
    <w:rsid w:val="00453DCF"/>
    <w:rsid w:val="0045414E"/>
    <w:rsid w:val="00454E31"/>
    <w:rsid w:val="004557F1"/>
    <w:rsid w:val="00456188"/>
    <w:rsid w:val="004565C9"/>
    <w:rsid w:val="0046066C"/>
    <w:rsid w:val="004606E6"/>
    <w:rsid w:val="0046084E"/>
    <w:rsid w:val="00460C24"/>
    <w:rsid w:val="00462FF6"/>
    <w:rsid w:val="004644EC"/>
    <w:rsid w:val="0046489E"/>
    <w:rsid w:val="00465089"/>
    <w:rsid w:val="00465176"/>
    <w:rsid w:val="0046537C"/>
    <w:rsid w:val="00465695"/>
    <w:rsid w:val="00465761"/>
    <w:rsid w:val="004663E9"/>
    <w:rsid w:val="004666CD"/>
    <w:rsid w:val="00467139"/>
    <w:rsid w:val="00467917"/>
    <w:rsid w:val="00471328"/>
    <w:rsid w:val="00471EA1"/>
    <w:rsid w:val="00471EAC"/>
    <w:rsid w:val="004723AC"/>
    <w:rsid w:val="00473A7E"/>
    <w:rsid w:val="0047449F"/>
    <w:rsid w:val="00474BF4"/>
    <w:rsid w:val="00475AE6"/>
    <w:rsid w:val="00477120"/>
    <w:rsid w:val="004777B0"/>
    <w:rsid w:val="00477DFA"/>
    <w:rsid w:val="00477ED9"/>
    <w:rsid w:val="00480547"/>
    <w:rsid w:val="004822FD"/>
    <w:rsid w:val="00482B6D"/>
    <w:rsid w:val="00483F50"/>
    <w:rsid w:val="00485BDC"/>
    <w:rsid w:val="00485C9B"/>
    <w:rsid w:val="00485DAA"/>
    <w:rsid w:val="004865FA"/>
    <w:rsid w:val="004873BD"/>
    <w:rsid w:val="0048759A"/>
    <w:rsid w:val="00490464"/>
    <w:rsid w:val="00490AF6"/>
    <w:rsid w:val="00490BFB"/>
    <w:rsid w:val="00490C8C"/>
    <w:rsid w:val="004923CC"/>
    <w:rsid w:val="00494327"/>
    <w:rsid w:val="00495678"/>
    <w:rsid w:val="00496112"/>
    <w:rsid w:val="00497049"/>
    <w:rsid w:val="004970AC"/>
    <w:rsid w:val="004970B3"/>
    <w:rsid w:val="004A07EE"/>
    <w:rsid w:val="004A0B32"/>
    <w:rsid w:val="004A0DEB"/>
    <w:rsid w:val="004A0E11"/>
    <w:rsid w:val="004A1D64"/>
    <w:rsid w:val="004A2389"/>
    <w:rsid w:val="004A2AAC"/>
    <w:rsid w:val="004A2C02"/>
    <w:rsid w:val="004A36DB"/>
    <w:rsid w:val="004A37B4"/>
    <w:rsid w:val="004A37F7"/>
    <w:rsid w:val="004A39E4"/>
    <w:rsid w:val="004A48EA"/>
    <w:rsid w:val="004A50CD"/>
    <w:rsid w:val="004A5C14"/>
    <w:rsid w:val="004A6248"/>
    <w:rsid w:val="004A6298"/>
    <w:rsid w:val="004A650B"/>
    <w:rsid w:val="004A6689"/>
    <w:rsid w:val="004A6968"/>
    <w:rsid w:val="004A71EB"/>
    <w:rsid w:val="004A7B21"/>
    <w:rsid w:val="004B0988"/>
    <w:rsid w:val="004B12B4"/>
    <w:rsid w:val="004B18C9"/>
    <w:rsid w:val="004B2267"/>
    <w:rsid w:val="004B2C13"/>
    <w:rsid w:val="004B5128"/>
    <w:rsid w:val="004B5A00"/>
    <w:rsid w:val="004B5F72"/>
    <w:rsid w:val="004B6B7C"/>
    <w:rsid w:val="004B6EBD"/>
    <w:rsid w:val="004B72DD"/>
    <w:rsid w:val="004C0734"/>
    <w:rsid w:val="004C0AB1"/>
    <w:rsid w:val="004C18FD"/>
    <w:rsid w:val="004C22AE"/>
    <w:rsid w:val="004C234A"/>
    <w:rsid w:val="004C2CA4"/>
    <w:rsid w:val="004C3131"/>
    <w:rsid w:val="004C3199"/>
    <w:rsid w:val="004C3AF8"/>
    <w:rsid w:val="004C415C"/>
    <w:rsid w:val="004C4555"/>
    <w:rsid w:val="004C4AC5"/>
    <w:rsid w:val="004C4EB5"/>
    <w:rsid w:val="004C52B9"/>
    <w:rsid w:val="004C60C5"/>
    <w:rsid w:val="004C60CF"/>
    <w:rsid w:val="004C658D"/>
    <w:rsid w:val="004C67EA"/>
    <w:rsid w:val="004C75A8"/>
    <w:rsid w:val="004C7D30"/>
    <w:rsid w:val="004D0224"/>
    <w:rsid w:val="004D0A1A"/>
    <w:rsid w:val="004D0BE1"/>
    <w:rsid w:val="004D0D8C"/>
    <w:rsid w:val="004D1169"/>
    <w:rsid w:val="004D156D"/>
    <w:rsid w:val="004D2543"/>
    <w:rsid w:val="004D2798"/>
    <w:rsid w:val="004D2AD8"/>
    <w:rsid w:val="004D3945"/>
    <w:rsid w:val="004D3BEC"/>
    <w:rsid w:val="004D3D9A"/>
    <w:rsid w:val="004D481C"/>
    <w:rsid w:val="004D5366"/>
    <w:rsid w:val="004D5DC3"/>
    <w:rsid w:val="004D6016"/>
    <w:rsid w:val="004D6F47"/>
    <w:rsid w:val="004D711D"/>
    <w:rsid w:val="004D7842"/>
    <w:rsid w:val="004E0770"/>
    <w:rsid w:val="004E1158"/>
    <w:rsid w:val="004E218A"/>
    <w:rsid w:val="004E2B37"/>
    <w:rsid w:val="004E2F6B"/>
    <w:rsid w:val="004E444E"/>
    <w:rsid w:val="004E4510"/>
    <w:rsid w:val="004E46E1"/>
    <w:rsid w:val="004E4D9F"/>
    <w:rsid w:val="004E4E98"/>
    <w:rsid w:val="004E4F41"/>
    <w:rsid w:val="004E542F"/>
    <w:rsid w:val="004E54D2"/>
    <w:rsid w:val="004E60E5"/>
    <w:rsid w:val="004E691B"/>
    <w:rsid w:val="004E7955"/>
    <w:rsid w:val="004E7C0F"/>
    <w:rsid w:val="004E7EA4"/>
    <w:rsid w:val="004F00AF"/>
    <w:rsid w:val="004F06CD"/>
    <w:rsid w:val="004F174C"/>
    <w:rsid w:val="004F29D2"/>
    <w:rsid w:val="004F3044"/>
    <w:rsid w:val="004F30C1"/>
    <w:rsid w:val="004F3492"/>
    <w:rsid w:val="004F358A"/>
    <w:rsid w:val="004F35A3"/>
    <w:rsid w:val="004F36F6"/>
    <w:rsid w:val="004F3855"/>
    <w:rsid w:val="004F4396"/>
    <w:rsid w:val="004F4666"/>
    <w:rsid w:val="004F530C"/>
    <w:rsid w:val="004F6506"/>
    <w:rsid w:val="004F6AC2"/>
    <w:rsid w:val="004F6E00"/>
    <w:rsid w:val="004F7664"/>
    <w:rsid w:val="004F7D73"/>
    <w:rsid w:val="00500000"/>
    <w:rsid w:val="005004A3"/>
    <w:rsid w:val="00500D5D"/>
    <w:rsid w:val="00500DE2"/>
    <w:rsid w:val="00501529"/>
    <w:rsid w:val="00503035"/>
    <w:rsid w:val="005033E8"/>
    <w:rsid w:val="005039DB"/>
    <w:rsid w:val="00505033"/>
    <w:rsid w:val="005056C4"/>
    <w:rsid w:val="00506195"/>
    <w:rsid w:val="005061D5"/>
    <w:rsid w:val="00506357"/>
    <w:rsid w:val="00506F8C"/>
    <w:rsid w:val="00506FD0"/>
    <w:rsid w:val="005071E3"/>
    <w:rsid w:val="00507E77"/>
    <w:rsid w:val="00510326"/>
    <w:rsid w:val="0051054B"/>
    <w:rsid w:val="0051058D"/>
    <w:rsid w:val="00510A16"/>
    <w:rsid w:val="005120A1"/>
    <w:rsid w:val="005120CC"/>
    <w:rsid w:val="005124CF"/>
    <w:rsid w:val="005127EE"/>
    <w:rsid w:val="00512DFF"/>
    <w:rsid w:val="005133F1"/>
    <w:rsid w:val="00513728"/>
    <w:rsid w:val="00514F66"/>
    <w:rsid w:val="00515BDB"/>
    <w:rsid w:val="005162CF"/>
    <w:rsid w:val="00516500"/>
    <w:rsid w:val="005171D4"/>
    <w:rsid w:val="005173C9"/>
    <w:rsid w:val="00520D1C"/>
    <w:rsid w:val="00520F49"/>
    <w:rsid w:val="00521205"/>
    <w:rsid w:val="00522715"/>
    <w:rsid w:val="00522920"/>
    <w:rsid w:val="0052308A"/>
    <w:rsid w:val="005235FE"/>
    <w:rsid w:val="00523C60"/>
    <w:rsid w:val="00523E6B"/>
    <w:rsid w:val="00524027"/>
    <w:rsid w:val="00524EEE"/>
    <w:rsid w:val="0052514C"/>
    <w:rsid w:val="00525151"/>
    <w:rsid w:val="005258BD"/>
    <w:rsid w:val="00525999"/>
    <w:rsid w:val="00525DBD"/>
    <w:rsid w:val="00526231"/>
    <w:rsid w:val="005262D7"/>
    <w:rsid w:val="00526385"/>
    <w:rsid w:val="00526677"/>
    <w:rsid w:val="00526A27"/>
    <w:rsid w:val="00526D02"/>
    <w:rsid w:val="00530B1A"/>
    <w:rsid w:val="00530B43"/>
    <w:rsid w:val="005311AA"/>
    <w:rsid w:val="00531CC6"/>
    <w:rsid w:val="005324B1"/>
    <w:rsid w:val="00532552"/>
    <w:rsid w:val="00533D51"/>
    <w:rsid w:val="005340AD"/>
    <w:rsid w:val="0053412D"/>
    <w:rsid w:val="00534244"/>
    <w:rsid w:val="0053472B"/>
    <w:rsid w:val="0053545B"/>
    <w:rsid w:val="00537216"/>
    <w:rsid w:val="00537931"/>
    <w:rsid w:val="00537BFE"/>
    <w:rsid w:val="0054018F"/>
    <w:rsid w:val="0054044B"/>
    <w:rsid w:val="00540CD9"/>
    <w:rsid w:val="0054128F"/>
    <w:rsid w:val="005423BB"/>
    <w:rsid w:val="00542EEB"/>
    <w:rsid w:val="0054384D"/>
    <w:rsid w:val="00544CBD"/>
    <w:rsid w:val="005457ED"/>
    <w:rsid w:val="00545A57"/>
    <w:rsid w:val="00545CD7"/>
    <w:rsid w:val="00546785"/>
    <w:rsid w:val="00546DD5"/>
    <w:rsid w:val="0054709D"/>
    <w:rsid w:val="005479AE"/>
    <w:rsid w:val="00547BAE"/>
    <w:rsid w:val="00547FDD"/>
    <w:rsid w:val="00550BCC"/>
    <w:rsid w:val="00550DAB"/>
    <w:rsid w:val="00551B18"/>
    <w:rsid w:val="00552096"/>
    <w:rsid w:val="005531A9"/>
    <w:rsid w:val="005535D7"/>
    <w:rsid w:val="005543BF"/>
    <w:rsid w:val="00554B66"/>
    <w:rsid w:val="0055519E"/>
    <w:rsid w:val="00556029"/>
    <w:rsid w:val="00556CD6"/>
    <w:rsid w:val="00557102"/>
    <w:rsid w:val="005571E8"/>
    <w:rsid w:val="00560A47"/>
    <w:rsid w:val="00560C39"/>
    <w:rsid w:val="00561429"/>
    <w:rsid w:val="00561E59"/>
    <w:rsid w:val="00561FEB"/>
    <w:rsid w:val="00562656"/>
    <w:rsid w:val="005627C3"/>
    <w:rsid w:val="00563630"/>
    <w:rsid w:val="005637A7"/>
    <w:rsid w:val="005660BE"/>
    <w:rsid w:val="0056655C"/>
    <w:rsid w:val="00566A97"/>
    <w:rsid w:val="00566DF7"/>
    <w:rsid w:val="005672F2"/>
    <w:rsid w:val="00567CFB"/>
    <w:rsid w:val="005702B0"/>
    <w:rsid w:val="00570C7E"/>
    <w:rsid w:val="00570D16"/>
    <w:rsid w:val="00570EED"/>
    <w:rsid w:val="0057131E"/>
    <w:rsid w:val="00571D2A"/>
    <w:rsid w:val="005722C9"/>
    <w:rsid w:val="005738FF"/>
    <w:rsid w:val="00574031"/>
    <w:rsid w:val="00574BE1"/>
    <w:rsid w:val="00574C75"/>
    <w:rsid w:val="00574CB3"/>
    <w:rsid w:val="0057570E"/>
    <w:rsid w:val="0057590C"/>
    <w:rsid w:val="00576209"/>
    <w:rsid w:val="00576216"/>
    <w:rsid w:val="005766CD"/>
    <w:rsid w:val="00576EAA"/>
    <w:rsid w:val="005770D9"/>
    <w:rsid w:val="00577947"/>
    <w:rsid w:val="00580238"/>
    <w:rsid w:val="00581BD3"/>
    <w:rsid w:val="00582143"/>
    <w:rsid w:val="00582B56"/>
    <w:rsid w:val="005843D0"/>
    <w:rsid w:val="00585601"/>
    <w:rsid w:val="00586886"/>
    <w:rsid w:val="005868E8"/>
    <w:rsid w:val="00587454"/>
    <w:rsid w:val="005903D3"/>
    <w:rsid w:val="00591133"/>
    <w:rsid w:val="00591297"/>
    <w:rsid w:val="0059192D"/>
    <w:rsid w:val="00591D09"/>
    <w:rsid w:val="00592721"/>
    <w:rsid w:val="00592BC0"/>
    <w:rsid w:val="00592D0A"/>
    <w:rsid w:val="005931FF"/>
    <w:rsid w:val="0059330D"/>
    <w:rsid w:val="00593528"/>
    <w:rsid w:val="00593A9C"/>
    <w:rsid w:val="00593E34"/>
    <w:rsid w:val="00593FEC"/>
    <w:rsid w:val="005946D6"/>
    <w:rsid w:val="0059531B"/>
    <w:rsid w:val="005956BB"/>
    <w:rsid w:val="00595836"/>
    <w:rsid w:val="00595E16"/>
    <w:rsid w:val="00596A49"/>
    <w:rsid w:val="005970B3"/>
    <w:rsid w:val="005977FA"/>
    <w:rsid w:val="00597949"/>
    <w:rsid w:val="005A005A"/>
    <w:rsid w:val="005A0E12"/>
    <w:rsid w:val="005A18D1"/>
    <w:rsid w:val="005A2192"/>
    <w:rsid w:val="005A330D"/>
    <w:rsid w:val="005A3C08"/>
    <w:rsid w:val="005A443A"/>
    <w:rsid w:val="005A4569"/>
    <w:rsid w:val="005A4A81"/>
    <w:rsid w:val="005A5962"/>
    <w:rsid w:val="005A5A04"/>
    <w:rsid w:val="005A5D46"/>
    <w:rsid w:val="005A6E00"/>
    <w:rsid w:val="005A7614"/>
    <w:rsid w:val="005B0A4A"/>
    <w:rsid w:val="005B0B44"/>
    <w:rsid w:val="005B20B2"/>
    <w:rsid w:val="005B24E7"/>
    <w:rsid w:val="005B321A"/>
    <w:rsid w:val="005B3A69"/>
    <w:rsid w:val="005B3B07"/>
    <w:rsid w:val="005B3E79"/>
    <w:rsid w:val="005B3F9F"/>
    <w:rsid w:val="005B426A"/>
    <w:rsid w:val="005B46B1"/>
    <w:rsid w:val="005B5582"/>
    <w:rsid w:val="005B56D7"/>
    <w:rsid w:val="005B5906"/>
    <w:rsid w:val="005B679A"/>
    <w:rsid w:val="005B70D4"/>
    <w:rsid w:val="005B7A49"/>
    <w:rsid w:val="005B7FE2"/>
    <w:rsid w:val="005C059E"/>
    <w:rsid w:val="005C0627"/>
    <w:rsid w:val="005C1AB0"/>
    <w:rsid w:val="005C1B81"/>
    <w:rsid w:val="005C21DD"/>
    <w:rsid w:val="005C2707"/>
    <w:rsid w:val="005C284A"/>
    <w:rsid w:val="005C29E5"/>
    <w:rsid w:val="005C2E47"/>
    <w:rsid w:val="005C3108"/>
    <w:rsid w:val="005C32EB"/>
    <w:rsid w:val="005C34F2"/>
    <w:rsid w:val="005C36B4"/>
    <w:rsid w:val="005C3D70"/>
    <w:rsid w:val="005C41E1"/>
    <w:rsid w:val="005C5BE9"/>
    <w:rsid w:val="005C61F2"/>
    <w:rsid w:val="005C629A"/>
    <w:rsid w:val="005C63E6"/>
    <w:rsid w:val="005C7151"/>
    <w:rsid w:val="005C72E9"/>
    <w:rsid w:val="005C7FE1"/>
    <w:rsid w:val="005D042B"/>
    <w:rsid w:val="005D0BF1"/>
    <w:rsid w:val="005D0DF3"/>
    <w:rsid w:val="005D1BA9"/>
    <w:rsid w:val="005D31F1"/>
    <w:rsid w:val="005D343D"/>
    <w:rsid w:val="005D3CF4"/>
    <w:rsid w:val="005D471D"/>
    <w:rsid w:val="005D4AE1"/>
    <w:rsid w:val="005D4C7E"/>
    <w:rsid w:val="005D59F9"/>
    <w:rsid w:val="005D61B9"/>
    <w:rsid w:val="005D64A1"/>
    <w:rsid w:val="005D64B4"/>
    <w:rsid w:val="005D6A2B"/>
    <w:rsid w:val="005D6A9F"/>
    <w:rsid w:val="005D6EE0"/>
    <w:rsid w:val="005D72A4"/>
    <w:rsid w:val="005D747B"/>
    <w:rsid w:val="005D7ACF"/>
    <w:rsid w:val="005E088B"/>
    <w:rsid w:val="005E09C7"/>
    <w:rsid w:val="005E0A79"/>
    <w:rsid w:val="005E18A0"/>
    <w:rsid w:val="005E1B93"/>
    <w:rsid w:val="005E2007"/>
    <w:rsid w:val="005E27C6"/>
    <w:rsid w:val="005E3ACE"/>
    <w:rsid w:val="005E40F5"/>
    <w:rsid w:val="005E4D50"/>
    <w:rsid w:val="005E4D58"/>
    <w:rsid w:val="005E50E8"/>
    <w:rsid w:val="005E552E"/>
    <w:rsid w:val="005E5E9D"/>
    <w:rsid w:val="005E687F"/>
    <w:rsid w:val="005E68CB"/>
    <w:rsid w:val="005E6980"/>
    <w:rsid w:val="005E6D20"/>
    <w:rsid w:val="005F01E7"/>
    <w:rsid w:val="005F01FA"/>
    <w:rsid w:val="005F07EA"/>
    <w:rsid w:val="005F14A0"/>
    <w:rsid w:val="005F1A13"/>
    <w:rsid w:val="005F2BC3"/>
    <w:rsid w:val="005F320F"/>
    <w:rsid w:val="005F3859"/>
    <w:rsid w:val="005F3930"/>
    <w:rsid w:val="005F4505"/>
    <w:rsid w:val="005F47B6"/>
    <w:rsid w:val="005F52AA"/>
    <w:rsid w:val="005F5B44"/>
    <w:rsid w:val="005F77BE"/>
    <w:rsid w:val="006006D5"/>
    <w:rsid w:val="00600C26"/>
    <w:rsid w:val="006011DA"/>
    <w:rsid w:val="006017C7"/>
    <w:rsid w:val="00601C01"/>
    <w:rsid w:val="00602354"/>
    <w:rsid w:val="00602B64"/>
    <w:rsid w:val="0060364A"/>
    <w:rsid w:val="00603793"/>
    <w:rsid w:val="0060500F"/>
    <w:rsid w:val="006057A7"/>
    <w:rsid w:val="00606681"/>
    <w:rsid w:val="006069AE"/>
    <w:rsid w:val="00606A0D"/>
    <w:rsid w:val="00606B06"/>
    <w:rsid w:val="00606C3A"/>
    <w:rsid w:val="006070D7"/>
    <w:rsid w:val="00607C92"/>
    <w:rsid w:val="006102EA"/>
    <w:rsid w:val="00610BC3"/>
    <w:rsid w:val="006112BF"/>
    <w:rsid w:val="00611A78"/>
    <w:rsid w:val="0061240E"/>
    <w:rsid w:val="0061251E"/>
    <w:rsid w:val="0061306E"/>
    <w:rsid w:val="00613270"/>
    <w:rsid w:val="00613BAB"/>
    <w:rsid w:val="00613BEE"/>
    <w:rsid w:val="00614086"/>
    <w:rsid w:val="0061472D"/>
    <w:rsid w:val="00614813"/>
    <w:rsid w:val="00615351"/>
    <w:rsid w:val="00616815"/>
    <w:rsid w:val="00616A38"/>
    <w:rsid w:val="00616CF0"/>
    <w:rsid w:val="006171E5"/>
    <w:rsid w:val="006172EE"/>
    <w:rsid w:val="00617F2B"/>
    <w:rsid w:val="006207C8"/>
    <w:rsid w:val="006207F9"/>
    <w:rsid w:val="0062093E"/>
    <w:rsid w:val="00620DE7"/>
    <w:rsid w:val="00620E48"/>
    <w:rsid w:val="006212A9"/>
    <w:rsid w:val="00621F86"/>
    <w:rsid w:val="00622507"/>
    <w:rsid w:val="00622D16"/>
    <w:rsid w:val="00623238"/>
    <w:rsid w:val="006237E5"/>
    <w:rsid w:val="006237EA"/>
    <w:rsid w:val="00623E69"/>
    <w:rsid w:val="0062485D"/>
    <w:rsid w:val="00625CD5"/>
    <w:rsid w:val="00626B15"/>
    <w:rsid w:val="0062722C"/>
    <w:rsid w:val="00627290"/>
    <w:rsid w:val="00630391"/>
    <w:rsid w:val="00630AC1"/>
    <w:rsid w:val="00630CC6"/>
    <w:rsid w:val="0063110A"/>
    <w:rsid w:val="006314A0"/>
    <w:rsid w:val="00631794"/>
    <w:rsid w:val="00631DF8"/>
    <w:rsid w:val="00632560"/>
    <w:rsid w:val="00632BBD"/>
    <w:rsid w:val="00632D9E"/>
    <w:rsid w:val="006335A6"/>
    <w:rsid w:val="00633C9F"/>
    <w:rsid w:val="00633DB4"/>
    <w:rsid w:val="006341EB"/>
    <w:rsid w:val="0063452E"/>
    <w:rsid w:val="006346F7"/>
    <w:rsid w:val="00634ABB"/>
    <w:rsid w:val="00634E0C"/>
    <w:rsid w:val="00635099"/>
    <w:rsid w:val="00635BD6"/>
    <w:rsid w:val="00635D02"/>
    <w:rsid w:val="00635F71"/>
    <w:rsid w:val="00635FE8"/>
    <w:rsid w:val="006363FC"/>
    <w:rsid w:val="00637689"/>
    <w:rsid w:val="006379D9"/>
    <w:rsid w:val="00640284"/>
    <w:rsid w:val="0064062A"/>
    <w:rsid w:val="006409A5"/>
    <w:rsid w:val="00640A64"/>
    <w:rsid w:val="00640CC7"/>
    <w:rsid w:val="006410A1"/>
    <w:rsid w:val="00641540"/>
    <w:rsid w:val="006417F3"/>
    <w:rsid w:val="00641ADF"/>
    <w:rsid w:val="00641F89"/>
    <w:rsid w:val="006432AE"/>
    <w:rsid w:val="00644661"/>
    <w:rsid w:val="00644C74"/>
    <w:rsid w:val="006450BC"/>
    <w:rsid w:val="00645ECD"/>
    <w:rsid w:val="0064733D"/>
    <w:rsid w:val="006475BA"/>
    <w:rsid w:val="00647A03"/>
    <w:rsid w:val="00650898"/>
    <w:rsid w:val="00650CE8"/>
    <w:rsid w:val="00650FF7"/>
    <w:rsid w:val="00652158"/>
    <w:rsid w:val="0065288B"/>
    <w:rsid w:val="00652BCC"/>
    <w:rsid w:val="0065301E"/>
    <w:rsid w:val="00653042"/>
    <w:rsid w:val="0065315F"/>
    <w:rsid w:val="00653801"/>
    <w:rsid w:val="00653888"/>
    <w:rsid w:val="0065395A"/>
    <w:rsid w:val="00654652"/>
    <w:rsid w:val="006559DC"/>
    <w:rsid w:val="0066054C"/>
    <w:rsid w:val="0066084D"/>
    <w:rsid w:val="00660D6C"/>
    <w:rsid w:val="00661093"/>
    <w:rsid w:val="0066126B"/>
    <w:rsid w:val="006612F8"/>
    <w:rsid w:val="00663034"/>
    <w:rsid w:val="00663175"/>
    <w:rsid w:val="006636B0"/>
    <w:rsid w:val="00663892"/>
    <w:rsid w:val="00664BAB"/>
    <w:rsid w:val="00664BFB"/>
    <w:rsid w:val="00664F7E"/>
    <w:rsid w:val="006650B1"/>
    <w:rsid w:val="00665A29"/>
    <w:rsid w:val="00666C0E"/>
    <w:rsid w:val="00670158"/>
    <w:rsid w:val="00670473"/>
    <w:rsid w:val="00670627"/>
    <w:rsid w:val="0067113F"/>
    <w:rsid w:val="006711E1"/>
    <w:rsid w:val="00671683"/>
    <w:rsid w:val="00671729"/>
    <w:rsid w:val="00671994"/>
    <w:rsid w:val="00671DE5"/>
    <w:rsid w:val="00672573"/>
    <w:rsid w:val="00672CFF"/>
    <w:rsid w:val="00672E79"/>
    <w:rsid w:val="006745C5"/>
    <w:rsid w:val="00674CBC"/>
    <w:rsid w:val="0067646F"/>
    <w:rsid w:val="00677430"/>
    <w:rsid w:val="00680136"/>
    <w:rsid w:val="00680A92"/>
    <w:rsid w:val="00680EF7"/>
    <w:rsid w:val="00681296"/>
    <w:rsid w:val="006816F8"/>
    <w:rsid w:val="00682218"/>
    <w:rsid w:val="006827C3"/>
    <w:rsid w:val="00683193"/>
    <w:rsid w:val="006838B8"/>
    <w:rsid w:val="00683EB8"/>
    <w:rsid w:val="00683F47"/>
    <w:rsid w:val="00684709"/>
    <w:rsid w:val="00685593"/>
    <w:rsid w:val="00686274"/>
    <w:rsid w:val="00686608"/>
    <w:rsid w:val="0068681A"/>
    <w:rsid w:val="00686ACB"/>
    <w:rsid w:val="00686E76"/>
    <w:rsid w:val="0068737D"/>
    <w:rsid w:val="00687A85"/>
    <w:rsid w:val="00687BC2"/>
    <w:rsid w:val="0069062B"/>
    <w:rsid w:val="00690E30"/>
    <w:rsid w:val="00690FD3"/>
    <w:rsid w:val="00691261"/>
    <w:rsid w:val="006920F6"/>
    <w:rsid w:val="006922B5"/>
    <w:rsid w:val="00692583"/>
    <w:rsid w:val="00692B31"/>
    <w:rsid w:val="00693605"/>
    <w:rsid w:val="00693F35"/>
    <w:rsid w:val="00694251"/>
    <w:rsid w:val="006947F1"/>
    <w:rsid w:val="00694906"/>
    <w:rsid w:val="00694FE6"/>
    <w:rsid w:val="006A04D1"/>
    <w:rsid w:val="006A04E4"/>
    <w:rsid w:val="006A08F6"/>
    <w:rsid w:val="006A09FA"/>
    <w:rsid w:val="006A262B"/>
    <w:rsid w:val="006A30D4"/>
    <w:rsid w:val="006A3C1D"/>
    <w:rsid w:val="006A47C3"/>
    <w:rsid w:val="006A4D73"/>
    <w:rsid w:val="006A5430"/>
    <w:rsid w:val="006A553F"/>
    <w:rsid w:val="006A574C"/>
    <w:rsid w:val="006A76D6"/>
    <w:rsid w:val="006A7A98"/>
    <w:rsid w:val="006B04CA"/>
    <w:rsid w:val="006B04EC"/>
    <w:rsid w:val="006B0936"/>
    <w:rsid w:val="006B0BCB"/>
    <w:rsid w:val="006B0C5A"/>
    <w:rsid w:val="006B13FC"/>
    <w:rsid w:val="006B1852"/>
    <w:rsid w:val="006B258D"/>
    <w:rsid w:val="006B2E5B"/>
    <w:rsid w:val="006B3766"/>
    <w:rsid w:val="006B3A08"/>
    <w:rsid w:val="006B3DC1"/>
    <w:rsid w:val="006B4F32"/>
    <w:rsid w:val="006B57D9"/>
    <w:rsid w:val="006B6481"/>
    <w:rsid w:val="006B6AAA"/>
    <w:rsid w:val="006B6B93"/>
    <w:rsid w:val="006B6C78"/>
    <w:rsid w:val="006B7CF0"/>
    <w:rsid w:val="006B7FD7"/>
    <w:rsid w:val="006C26AD"/>
    <w:rsid w:val="006C270E"/>
    <w:rsid w:val="006C2DE3"/>
    <w:rsid w:val="006C326A"/>
    <w:rsid w:val="006C3415"/>
    <w:rsid w:val="006C373F"/>
    <w:rsid w:val="006C37C2"/>
    <w:rsid w:val="006C3934"/>
    <w:rsid w:val="006C44D3"/>
    <w:rsid w:val="006C57BA"/>
    <w:rsid w:val="006C6187"/>
    <w:rsid w:val="006C6C2A"/>
    <w:rsid w:val="006C7A7A"/>
    <w:rsid w:val="006D1407"/>
    <w:rsid w:val="006D21CB"/>
    <w:rsid w:val="006D21E6"/>
    <w:rsid w:val="006D2C47"/>
    <w:rsid w:val="006D2D8C"/>
    <w:rsid w:val="006D2E86"/>
    <w:rsid w:val="006D3D2D"/>
    <w:rsid w:val="006D57B9"/>
    <w:rsid w:val="006D6152"/>
    <w:rsid w:val="006D68E2"/>
    <w:rsid w:val="006D6A4F"/>
    <w:rsid w:val="006D6A62"/>
    <w:rsid w:val="006D6B78"/>
    <w:rsid w:val="006D71A4"/>
    <w:rsid w:val="006D728C"/>
    <w:rsid w:val="006D7782"/>
    <w:rsid w:val="006D7E90"/>
    <w:rsid w:val="006E023B"/>
    <w:rsid w:val="006E0918"/>
    <w:rsid w:val="006E10CB"/>
    <w:rsid w:val="006E1380"/>
    <w:rsid w:val="006E14BA"/>
    <w:rsid w:val="006E1579"/>
    <w:rsid w:val="006E18F4"/>
    <w:rsid w:val="006E237E"/>
    <w:rsid w:val="006E29FA"/>
    <w:rsid w:val="006E37B8"/>
    <w:rsid w:val="006E41EE"/>
    <w:rsid w:val="006E4F80"/>
    <w:rsid w:val="006E56B4"/>
    <w:rsid w:val="006E5E57"/>
    <w:rsid w:val="006E5EFE"/>
    <w:rsid w:val="006E704F"/>
    <w:rsid w:val="006E7656"/>
    <w:rsid w:val="006F011E"/>
    <w:rsid w:val="006F05D1"/>
    <w:rsid w:val="006F09C2"/>
    <w:rsid w:val="006F09CA"/>
    <w:rsid w:val="006F1364"/>
    <w:rsid w:val="006F19AE"/>
    <w:rsid w:val="006F1E52"/>
    <w:rsid w:val="006F24DB"/>
    <w:rsid w:val="006F25E9"/>
    <w:rsid w:val="006F27C0"/>
    <w:rsid w:val="006F2BF6"/>
    <w:rsid w:val="006F30A8"/>
    <w:rsid w:val="006F4BB2"/>
    <w:rsid w:val="006F5F5F"/>
    <w:rsid w:val="006F6B20"/>
    <w:rsid w:val="006F75AA"/>
    <w:rsid w:val="00700159"/>
    <w:rsid w:val="00703CBB"/>
    <w:rsid w:val="0070410C"/>
    <w:rsid w:val="00704614"/>
    <w:rsid w:val="00704DA1"/>
    <w:rsid w:val="00705BAF"/>
    <w:rsid w:val="00705D03"/>
    <w:rsid w:val="00706AD0"/>
    <w:rsid w:val="00706ED3"/>
    <w:rsid w:val="00707351"/>
    <w:rsid w:val="007074FF"/>
    <w:rsid w:val="00707C91"/>
    <w:rsid w:val="00707CA4"/>
    <w:rsid w:val="007124DE"/>
    <w:rsid w:val="00712DE0"/>
    <w:rsid w:val="00713EF9"/>
    <w:rsid w:val="00715333"/>
    <w:rsid w:val="00715DA9"/>
    <w:rsid w:val="00717807"/>
    <w:rsid w:val="0072373E"/>
    <w:rsid w:val="00724595"/>
    <w:rsid w:val="00724833"/>
    <w:rsid w:val="007255D3"/>
    <w:rsid w:val="00725722"/>
    <w:rsid w:val="007263B1"/>
    <w:rsid w:val="00726712"/>
    <w:rsid w:val="00726785"/>
    <w:rsid w:val="00726860"/>
    <w:rsid w:val="00726E81"/>
    <w:rsid w:val="00727AB4"/>
    <w:rsid w:val="00730560"/>
    <w:rsid w:val="007308C6"/>
    <w:rsid w:val="0073165F"/>
    <w:rsid w:val="00732271"/>
    <w:rsid w:val="007327CC"/>
    <w:rsid w:val="00733726"/>
    <w:rsid w:val="00734401"/>
    <w:rsid w:val="007357D5"/>
    <w:rsid w:val="007360C6"/>
    <w:rsid w:val="00736BA7"/>
    <w:rsid w:val="00736C6B"/>
    <w:rsid w:val="00736DAE"/>
    <w:rsid w:val="007379B5"/>
    <w:rsid w:val="00737DED"/>
    <w:rsid w:val="00737F54"/>
    <w:rsid w:val="0074006B"/>
    <w:rsid w:val="0074176E"/>
    <w:rsid w:val="00741BED"/>
    <w:rsid w:val="00741C66"/>
    <w:rsid w:val="00742698"/>
    <w:rsid w:val="007434C4"/>
    <w:rsid w:val="00743586"/>
    <w:rsid w:val="00743F67"/>
    <w:rsid w:val="00744001"/>
    <w:rsid w:val="007445F1"/>
    <w:rsid w:val="0074528D"/>
    <w:rsid w:val="00745C6E"/>
    <w:rsid w:val="00745CAC"/>
    <w:rsid w:val="00747828"/>
    <w:rsid w:val="0075022F"/>
    <w:rsid w:val="007502E2"/>
    <w:rsid w:val="007511C1"/>
    <w:rsid w:val="00751C54"/>
    <w:rsid w:val="007523C7"/>
    <w:rsid w:val="00752D09"/>
    <w:rsid w:val="0075336B"/>
    <w:rsid w:val="00754965"/>
    <w:rsid w:val="00755B8F"/>
    <w:rsid w:val="007571C1"/>
    <w:rsid w:val="007571E5"/>
    <w:rsid w:val="00757568"/>
    <w:rsid w:val="00757D59"/>
    <w:rsid w:val="00760820"/>
    <w:rsid w:val="00760F4F"/>
    <w:rsid w:val="0076118D"/>
    <w:rsid w:val="00761579"/>
    <w:rsid w:val="00761A1C"/>
    <w:rsid w:val="00761BCE"/>
    <w:rsid w:val="00762C89"/>
    <w:rsid w:val="00762E5C"/>
    <w:rsid w:val="00762EF0"/>
    <w:rsid w:val="007632D3"/>
    <w:rsid w:val="007638E6"/>
    <w:rsid w:val="00763A8E"/>
    <w:rsid w:val="00763DAE"/>
    <w:rsid w:val="0076450C"/>
    <w:rsid w:val="00764AAC"/>
    <w:rsid w:val="0076521B"/>
    <w:rsid w:val="00765A58"/>
    <w:rsid w:val="00765D08"/>
    <w:rsid w:val="007663F1"/>
    <w:rsid w:val="00766AFA"/>
    <w:rsid w:val="0077028F"/>
    <w:rsid w:val="007708CF"/>
    <w:rsid w:val="00771259"/>
    <w:rsid w:val="00771712"/>
    <w:rsid w:val="00771E3C"/>
    <w:rsid w:val="00771FFE"/>
    <w:rsid w:val="0077288A"/>
    <w:rsid w:val="00773755"/>
    <w:rsid w:val="00774B5E"/>
    <w:rsid w:val="00774EAC"/>
    <w:rsid w:val="0077575F"/>
    <w:rsid w:val="00775FC6"/>
    <w:rsid w:val="00776AB9"/>
    <w:rsid w:val="00777DC2"/>
    <w:rsid w:val="00780523"/>
    <w:rsid w:val="00780A4A"/>
    <w:rsid w:val="00780E40"/>
    <w:rsid w:val="00781006"/>
    <w:rsid w:val="007822CD"/>
    <w:rsid w:val="00785188"/>
    <w:rsid w:val="00786120"/>
    <w:rsid w:val="00786794"/>
    <w:rsid w:val="00786B6B"/>
    <w:rsid w:val="00786B96"/>
    <w:rsid w:val="0078768B"/>
    <w:rsid w:val="00787DF9"/>
    <w:rsid w:val="00790324"/>
    <w:rsid w:val="007903ED"/>
    <w:rsid w:val="007907B3"/>
    <w:rsid w:val="00790DCE"/>
    <w:rsid w:val="00790EBE"/>
    <w:rsid w:val="0079124B"/>
    <w:rsid w:val="0079183E"/>
    <w:rsid w:val="0079233C"/>
    <w:rsid w:val="007925B6"/>
    <w:rsid w:val="00792AFB"/>
    <w:rsid w:val="00792D54"/>
    <w:rsid w:val="00793C62"/>
    <w:rsid w:val="00793E77"/>
    <w:rsid w:val="00794B49"/>
    <w:rsid w:val="0079595A"/>
    <w:rsid w:val="00795C30"/>
    <w:rsid w:val="00795F75"/>
    <w:rsid w:val="00796243"/>
    <w:rsid w:val="00797382"/>
    <w:rsid w:val="007979AC"/>
    <w:rsid w:val="007A048B"/>
    <w:rsid w:val="007A1A18"/>
    <w:rsid w:val="007A1EAD"/>
    <w:rsid w:val="007A1EFC"/>
    <w:rsid w:val="007A20A5"/>
    <w:rsid w:val="007A2FA5"/>
    <w:rsid w:val="007A3857"/>
    <w:rsid w:val="007A4FF7"/>
    <w:rsid w:val="007A59A4"/>
    <w:rsid w:val="007A603F"/>
    <w:rsid w:val="007A68E7"/>
    <w:rsid w:val="007A7D1F"/>
    <w:rsid w:val="007A7EC9"/>
    <w:rsid w:val="007B0622"/>
    <w:rsid w:val="007B1604"/>
    <w:rsid w:val="007B19A7"/>
    <w:rsid w:val="007B40F8"/>
    <w:rsid w:val="007B448A"/>
    <w:rsid w:val="007B4A30"/>
    <w:rsid w:val="007B4EF4"/>
    <w:rsid w:val="007B6675"/>
    <w:rsid w:val="007C057F"/>
    <w:rsid w:val="007C063B"/>
    <w:rsid w:val="007C0852"/>
    <w:rsid w:val="007C12FE"/>
    <w:rsid w:val="007C14A7"/>
    <w:rsid w:val="007C19A5"/>
    <w:rsid w:val="007C37A6"/>
    <w:rsid w:val="007C390D"/>
    <w:rsid w:val="007C3E29"/>
    <w:rsid w:val="007C4BBA"/>
    <w:rsid w:val="007C4EFD"/>
    <w:rsid w:val="007C64CA"/>
    <w:rsid w:val="007C64EA"/>
    <w:rsid w:val="007C6700"/>
    <w:rsid w:val="007C6808"/>
    <w:rsid w:val="007C715C"/>
    <w:rsid w:val="007C71D2"/>
    <w:rsid w:val="007C7405"/>
    <w:rsid w:val="007C7959"/>
    <w:rsid w:val="007D04CA"/>
    <w:rsid w:val="007D0EBD"/>
    <w:rsid w:val="007D16AC"/>
    <w:rsid w:val="007D2C15"/>
    <w:rsid w:val="007D3055"/>
    <w:rsid w:val="007D33EA"/>
    <w:rsid w:val="007D3BDC"/>
    <w:rsid w:val="007D3D5F"/>
    <w:rsid w:val="007D472D"/>
    <w:rsid w:val="007D4E31"/>
    <w:rsid w:val="007D6847"/>
    <w:rsid w:val="007D6DF8"/>
    <w:rsid w:val="007D70E6"/>
    <w:rsid w:val="007D76DB"/>
    <w:rsid w:val="007E0315"/>
    <w:rsid w:val="007E05A1"/>
    <w:rsid w:val="007E1353"/>
    <w:rsid w:val="007E1852"/>
    <w:rsid w:val="007E189F"/>
    <w:rsid w:val="007E31BF"/>
    <w:rsid w:val="007E3956"/>
    <w:rsid w:val="007E4A87"/>
    <w:rsid w:val="007E5816"/>
    <w:rsid w:val="007E5D6C"/>
    <w:rsid w:val="007E5D7B"/>
    <w:rsid w:val="007E660A"/>
    <w:rsid w:val="007E6ED8"/>
    <w:rsid w:val="007E6EF7"/>
    <w:rsid w:val="007E7134"/>
    <w:rsid w:val="007E72FA"/>
    <w:rsid w:val="007E7A62"/>
    <w:rsid w:val="007E7A6F"/>
    <w:rsid w:val="007F02F3"/>
    <w:rsid w:val="007F1CAF"/>
    <w:rsid w:val="007F1D24"/>
    <w:rsid w:val="007F51CA"/>
    <w:rsid w:val="007F67DB"/>
    <w:rsid w:val="007F6C40"/>
    <w:rsid w:val="0080025E"/>
    <w:rsid w:val="008013CB"/>
    <w:rsid w:val="008018D3"/>
    <w:rsid w:val="00801BA1"/>
    <w:rsid w:val="00801E93"/>
    <w:rsid w:val="00801EB1"/>
    <w:rsid w:val="008057CC"/>
    <w:rsid w:val="00805A5F"/>
    <w:rsid w:val="00806153"/>
    <w:rsid w:val="0080694D"/>
    <w:rsid w:val="0080709C"/>
    <w:rsid w:val="008101FC"/>
    <w:rsid w:val="0081029F"/>
    <w:rsid w:val="00811E87"/>
    <w:rsid w:val="00812334"/>
    <w:rsid w:val="0081337F"/>
    <w:rsid w:val="0081377B"/>
    <w:rsid w:val="00813AF9"/>
    <w:rsid w:val="00813E0B"/>
    <w:rsid w:val="00813F21"/>
    <w:rsid w:val="00814F08"/>
    <w:rsid w:val="00814F0C"/>
    <w:rsid w:val="00815535"/>
    <w:rsid w:val="008155EC"/>
    <w:rsid w:val="00815CB8"/>
    <w:rsid w:val="008163EE"/>
    <w:rsid w:val="00817DE0"/>
    <w:rsid w:val="008205D7"/>
    <w:rsid w:val="008207E1"/>
    <w:rsid w:val="00820CDA"/>
    <w:rsid w:val="00821A8E"/>
    <w:rsid w:val="00821EA7"/>
    <w:rsid w:val="0082227D"/>
    <w:rsid w:val="00822DA7"/>
    <w:rsid w:val="00823511"/>
    <w:rsid w:val="00823EA3"/>
    <w:rsid w:val="0082496F"/>
    <w:rsid w:val="00824C15"/>
    <w:rsid w:val="00824C7C"/>
    <w:rsid w:val="00825DFF"/>
    <w:rsid w:val="00826844"/>
    <w:rsid w:val="00826B6B"/>
    <w:rsid w:val="00827445"/>
    <w:rsid w:val="008276B1"/>
    <w:rsid w:val="008277EF"/>
    <w:rsid w:val="0082788E"/>
    <w:rsid w:val="00827C9C"/>
    <w:rsid w:val="00827E08"/>
    <w:rsid w:val="00830103"/>
    <w:rsid w:val="008304E2"/>
    <w:rsid w:val="008310F1"/>
    <w:rsid w:val="008317C0"/>
    <w:rsid w:val="008318BE"/>
    <w:rsid w:val="00831CC5"/>
    <w:rsid w:val="008322B7"/>
    <w:rsid w:val="00832650"/>
    <w:rsid w:val="008326E6"/>
    <w:rsid w:val="00832801"/>
    <w:rsid w:val="00832AFD"/>
    <w:rsid w:val="00832EB6"/>
    <w:rsid w:val="008330D0"/>
    <w:rsid w:val="008338C3"/>
    <w:rsid w:val="00834518"/>
    <w:rsid w:val="00834D6D"/>
    <w:rsid w:val="0083539F"/>
    <w:rsid w:val="008366D2"/>
    <w:rsid w:val="00836B15"/>
    <w:rsid w:val="00836CDA"/>
    <w:rsid w:val="008373A9"/>
    <w:rsid w:val="008404DC"/>
    <w:rsid w:val="008405A9"/>
    <w:rsid w:val="0084098C"/>
    <w:rsid w:val="00840ACA"/>
    <w:rsid w:val="00841FA4"/>
    <w:rsid w:val="00842D27"/>
    <w:rsid w:val="0084645A"/>
    <w:rsid w:val="00846742"/>
    <w:rsid w:val="00846AE1"/>
    <w:rsid w:val="00847242"/>
    <w:rsid w:val="00850053"/>
    <w:rsid w:val="0085006E"/>
    <w:rsid w:val="00850A80"/>
    <w:rsid w:val="00851625"/>
    <w:rsid w:val="0085200F"/>
    <w:rsid w:val="00852568"/>
    <w:rsid w:val="00852BF8"/>
    <w:rsid w:val="0085313D"/>
    <w:rsid w:val="008539B8"/>
    <w:rsid w:val="00854A31"/>
    <w:rsid w:val="00855CBE"/>
    <w:rsid w:val="008566E5"/>
    <w:rsid w:val="00856784"/>
    <w:rsid w:val="00856929"/>
    <w:rsid w:val="008577E4"/>
    <w:rsid w:val="0086062D"/>
    <w:rsid w:val="008607C8"/>
    <w:rsid w:val="00860924"/>
    <w:rsid w:val="00860C2A"/>
    <w:rsid w:val="00860DD3"/>
    <w:rsid w:val="008611A2"/>
    <w:rsid w:val="00861663"/>
    <w:rsid w:val="00861A3D"/>
    <w:rsid w:val="00861ABE"/>
    <w:rsid w:val="00861B65"/>
    <w:rsid w:val="00862CD5"/>
    <w:rsid w:val="00862F22"/>
    <w:rsid w:val="0086302F"/>
    <w:rsid w:val="00863949"/>
    <w:rsid w:val="008642AF"/>
    <w:rsid w:val="00864C32"/>
    <w:rsid w:val="00866F31"/>
    <w:rsid w:val="008677C0"/>
    <w:rsid w:val="0087148B"/>
    <w:rsid w:val="0087211C"/>
    <w:rsid w:val="00872CB0"/>
    <w:rsid w:val="008731A3"/>
    <w:rsid w:val="008734C0"/>
    <w:rsid w:val="008735E1"/>
    <w:rsid w:val="008735F2"/>
    <w:rsid w:val="00873BE8"/>
    <w:rsid w:val="00873F99"/>
    <w:rsid w:val="00874628"/>
    <w:rsid w:val="00875072"/>
    <w:rsid w:val="00875AA8"/>
    <w:rsid w:val="00875ACC"/>
    <w:rsid w:val="00875DCB"/>
    <w:rsid w:val="00876C44"/>
    <w:rsid w:val="00876F40"/>
    <w:rsid w:val="0087706B"/>
    <w:rsid w:val="008777CA"/>
    <w:rsid w:val="00877B28"/>
    <w:rsid w:val="00877D26"/>
    <w:rsid w:val="00880731"/>
    <w:rsid w:val="00880CE5"/>
    <w:rsid w:val="00881C34"/>
    <w:rsid w:val="00881CB1"/>
    <w:rsid w:val="008829C7"/>
    <w:rsid w:val="00882A3F"/>
    <w:rsid w:val="00882AAA"/>
    <w:rsid w:val="0088324B"/>
    <w:rsid w:val="008832DC"/>
    <w:rsid w:val="008833B0"/>
    <w:rsid w:val="00883D5D"/>
    <w:rsid w:val="00884369"/>
    <w:rsid w:val="008849CC"/>
    <w:rsid w:val="00884C4C"/>
    <w:rsid w:val="00884D8D"/>
    <w:rsid w:val="008854F0"/>
    <w:rsid w:val="00885C0B"/>
    <w:rsid w:val="00886EBE"/>
    <w:rsid w:val="008875CC"/>
    <w:rsid w:val="0088761D"/>
    <w:rsid w:val="008903B9"/>
    <w:rsid w:val="0089049F"/>
    <w:rsid w:val="00890F9B"/>
    <w:rsid w:val="008915E5"/>
    <w:rsid w:val="0089211C"/>
    <w:rsid w:val="00892F46"/>
    <w:rsid w:val="00895569"/>
    <w:rsid w:val="008955ED"/>
    <w:rsid w:val="00896503"/>
    <w:rsid w:val="00896998"/>
    <w:rsid w:val="008977E4"/>
    <w:rsid w:val="008A0AAC"/>
    <w:rsid w:val="008A1D6E"/>
    <w:rsid w:val="008A3337"/>
    <w:rsid w:val="008A340D"/>
    <w:rsid w:val="008A3DD1"/>
    <w:rsid w:val="008A546A"/>
    <w:rsid w:val="008A65E7"/>
    <w:rsid w:val="008A6A6E"/>
    <w:rsid w:val="008A6FE0"/>
    <w:rsid w:val="008A7399"/>
    <w:rsid w:val="008B0EF6"/>
    <w:rsid w:val="008B102E"/>
    <w:rsid w:val="008B265C"/>
    <w:rsid w:val="008B3047"/>
    <w:rsid w:val="008B52AA"/>
    <w:rsid w:val="008B54B6"/>
    <w:rsid w:val="008B5EAD"/>
    <w:rsid w:val="008B6CEE"/>
    <w:rsid w:val="008B74F4"/>
    <w:rsid w:val="008B7CD6"/>
    <w:rsid w:val="008B7EC2"/>
    <w:rsid w:val="008C0C6C"/>
    <w:rsid w:val="008C111A"/>
    <w:rsid w:val="008C1F53"/>
    <w:rsid w:val="008C23A8"/>
    <w:rsid w:val="008C2934"/>
    <w:rsid w:val="008C29DC"/>
    <w:rsid w:val="008C34C3"/>
    <w:rsid w:val="008C36CD"/>
    <w:rsid w:val="008C40B9"/>
    <w:rsid w:val="008C42C1"/>
    <w:rsid w:val="008C42ED"/>
    <w:rsid w:val="008C4461"/>
    <w:rsid w:val="008C4EDC"/>
    <w:rsid w:val="008C50EF"/>
    <w:rsid w:val="008C57DD"/>
    <w:rsid w:val="008C5A49"/>
    <w:rsid w:val="008C6095"/>
    <w:rsid w:val="008C62F8"/>
    <w:rsid w:val="008C78E5"/>
    <w:rsid w:val="008C7DAC"/>
    <w:rsid w:val="008D00B3"/>
    <w:rsid w:val="008D04F1"/>
    <w:rsid w:val="008D0747"/>
    <w:rsid w:val="008D0C08"/>
    <w:rsid w:val="008D110C"/>
    <w:rsid w:val="008D20BF"/>
    <w:rsid w:val="008D24B8"/>
    <w:rsid w:val="008D296A"/>
    <w:rsid w:val="008D2A1C"/>
    <w:rsid w:val="008D3F21"/>
    <w:rsid w:val="008D42B9"/>
    <w:rsid w:val="008D4C45"/>
    <w:rsid w:val="008D5608"/>
    <w:rsid w:val="008D7B22"/>
    <w:rsid w:val="008D7DC5"/>
    <w:rsid w:val="008E03A5"/>
    <w:rsid w:val="008E0DC3"/>
    <w:rsid w:val="008E0E53"/>
    <w:rsid w:val="008E114F"/>
    <w:rsid w:val="008E150D"/>
    <w:rsid w:val="008E1A82"/>
    <w:rsid w:val="008E1AD7"/>
    <w:rsid w:val="008E2C9A"/>
    <w:rsid w:val="008E352B"/>
    <w:rsid w:val="008E3878"/>
    <w:rsid w:val="008E422A"/>
    <w:rsid w:val="008E43B9"/>
    <w:rsid w:val="008E4E67"/>
    <w:rsid w:val="008E5285"/>
    <w:rsid w:val="008E5E9B"/>
    <w:rsid w:val="008E693E"/>
    <w:rsid w:val="008E69CC"/>
    <w:rsid w:val="008E7271"/>
    <w:rsid w:val="008E7373"/>
    <w:rsid w:val="008E7480"/>
    <w:rsid w:val="008E7535"/>
    <w:rsid w:val="008F008D"/>
    <w:rsid w:val="008F016E"/>
    <w:rsid w:val="008F0EAA"/>
    <w:rsid w:val="008F1435"/>
    <w:rsid w:val="008F348B"/>
    <w:rsid w:val="008F376B"/>
    <w:rsid w:val="008F4693"/>
    <w:rsid w:val="008F473D"/>
    <w:rsid w:val="008F4880"/>
    <w:rsid w:val="008F4B2B"/>
    <w:rsid w:val="008F4E82"/>
    <w:rsid w:val="008F54BE"/>
    <w:rsid w:val="008F5AFC"/>
    <w:rsid w:val="008F6B37"/>
    <w:rsid w:val="008F7DAF"/>
    <w:rsid w:val="009001C2"/>
    <w:rsid w:val="0090079F"/>
    <w:rsid w:val="009015AC"/>
    <w:rsid w:val="0090186F"/>
    <w:rsid w:val="00901CB4"/>
    <w:rsid w:val="009024E2"/>
    <w:rsid w:val="009026EF"/>
    <w:rsid w:val="00902A45"/>
    <w:rsid w:val="00902AD8"/>
    <w:rsid w:val="00903065"/>
    <w:rsid w:val="00903F2E"/>
    <w:rsid w:val="009043A9"/>
    <w:rsid w:val="00904729"/>
    <w:rsid w:val="0090485A"/>
    <w:rsid w:val="00905EFB"/>
    <w:rsid w:val="0090623B"/>
    <w:rsid w:val="009062A1"/>
    <w:rsid w:val="00907E36"/>
    <w:rsid w:val="00910143"/>
    <w:rsid w:val="00910907"/>
    <w:rsid w:val="00910FE1"/>
    <w:rsid w:val="00911775"/>
    <w:rsid w:val="0091277F"/>
    <w:rsid w:val="00912E57"/>
    <w:rsid w:val="009132FD"/>
    <w:rsid w:val="009135BB"/>
    <w:rsid w:val="009138FB"/>
    <w:rsid w:val="009138FF"/>
    <w:rsid w:val="00913981"/>
    <w:rsid w:val="00913AD1"/>
    <w:rsid w:val="00913C29"/>
    <w:rsid w:val="00913CE6"/>
    <w:rsid w:val="00914A80"/>
    <w:rsid w:val="0091553E"/>
    <w:rsid w:val="009160C3"/>
    <w:rsid w:val="0091635B"/>
    <w:rsid w:val="009171A7"/>
    <w:rsid w:val="00917C4D"/>
    <w:rsid w:val="00920A2B"/>
    <w:rsid w:val="00920F00"/>
    <w:rsid w:val="00921B34"/>
    <w:rsid w:val="0092285B"/>
    <w:rsid w:val="009231B7"/>
    <w:rsid w:val="0092406D"/>
    <w:rsid w:val="00924847"/>
    <w:rsid w:val="009248BA"/>
    <w:rsid w:val="00925601"/>
    <w:rsid w:val="00925C7D"/>
    <w:rsid w:val="009264A3"/>
    <w:rsid w:val="00927067"/>
    <w:rsid w:val="009275EA"/>
    <w:rsid w:val="009304FE"/>
    <w:rsid w:val="0093068D"/>
    <w:rsid w:val="00930757"/>
    <w:rsid w:val="00930A0F"/>
    <w:rsid w:val="0093112C"/>
    <w:rsid w:val="00931BA3"/>
    <w:rsid w:val="00931FA0"/>
    <w:rsid w:val="00932199"/>
    <w:rsid w:val="00932571"/>
    <w:rsid w:val="009325A9"/>
    <w:rsid w:val="0093334B"/>
    <w:rsid w:val="00933684"/>
    <w:rsid w:val="00934FB8"/>
    <w:rsid w:val="0093539E"/>
    <w:rsid w:val="0093584C"/>
    <w:rsid w:val="00935AD1"/>
    <w:rsid w:val="00935F11"/>
    <w:rsid w:val="0093601F"/>
    <w:rsid w:val="009363E1"/>
    <w:rsid w:val="0093716D"/>
    <w:rsid w:val="0093783D"/>
    <w:rsid w:val="00937906"/>
    <w:rsid w:val="00940540"/>
    <w:rsid w:val="00940823"/>
    <w:rsid w:val="009418F0"/>
    <w:rsid w:val="00941C7C"/>
    <w:rsid w:val="00943023"/>
    <w:rsid w:val="009435D5"/>
    <w:rsid w:val="009436DD"/>
    <w:rsid w:val="00943DE7"/>
    <w:rsid w:val="00943F62"/>
    <w:rsid w:val="0094449D"/>
    <w:rsid w:val="00944887"/>
    <w:rsid w:val="009448B2"/>
    <w:rsid w:val="0094582E"/>
    <w:rsid w:val="00945C37"/>
    <w:rsid w:val="00946C27"/>
    <w:rsid w:val="00946CAA"/>
    <w:rsid w:val="0094757D"/>
    <w:rsid w:val="00947952"/>
    <w:rsid w:val="00950849"/>
    <w:rsid w:val="00950F1D"/>
    <w:rsid w:val="009513CF"/>
    <w:rsid w:val="009518CB"/>
    <w:rsid w:val="009520B6"/>
    <w:rsid w:val="009520D1"/>
    <w:rsid w:val="009530A8"/>
    <w:rsid w:val="009547D4"/>
    <w:rsid w:val="00954B5C"/>
    <w:rsid w:val="009552A3"/>
    <w:rsid w:val="0095606F"/>
    <w:rsid w:val="00956612"/>
    <w:rsid w:val="00956773"/>
    <w:rsid w:val="00956F8A"/>
    <w:rsid w:val="0095719E"/>
    <w:rsid w:val="0095736F"/>
    <w:rsid w:val="00957B0D"/>
    <w:rsid w:val="00957D3D"/>
    <w:rsid w:val="00957E40"/>
    <w:rsid w:val="00960F88"/>
    <w:rsid w:val="00961A36"/>
    <w:rsid w:val="009621F1"/>
    <w:rsid w:val="00962A79"/>
    <w:rsid w:val="00962DB1"/>
    <w:rsid w:val="00965A9E"/>
    <w:rsid w:val="00965D1F"/>
    <w:rsid w:val="0096632C"/>
    <w:rsid w:val="00967DA6"/>
    <w:rsid w:val="00970682"/>
    <w:rsid w:val="00970709"/>
    <w:rsid w:val="009708CD"/>
    <w:rsid w:val="009712AA"/>
    <w:rsid w:val="0097254D"/>
    <w:rsid w:val="00973BDB"/>
    <w:rsid w:val="009741E3"/>
    <w:rsid w:val="00974648"/>
    <w:rsid w:val="00975674"/>
    <w:rsid w:val="00976538"/>
    <w:rsid w:val="009769FB"/>
    <w:rsid w:val="00980A10"/>
    <w:rsid w:val="00981006"/>
    <w:rsid w:val="009818B9"/>
    <w:rsid w:val="00981AA0"/>
    <w:rsid w:val="009820CF"/>
    <w:rsid w:val="00982109"/>
    <w:rsid w:val="00982203"/>
    <w:rsid w:val="00983113"/>
    <w:rsid w:val="00983CF2"/>
    <w:rsid w:val="00983EBC"/>
    <w:rsid w:val="00983F0F"/>
    <w:rsid w:val="009847BB"/>
    <w:rsid w:val="00984AA3"/>
    <w:rsid w:val="009858D0"/>
    <w:rsid w:val="00985E2C"/>
    <w:rsid w:val="00985FA2"/>
    <w:rsid w:val="00986205"/>
    <w:rsid w:val="00987260"/>
    <w:rsid w:val="0098769C"/>
    <w:rsid w:val="00990588"/>
    <w:rsid w:val="00990780"/>
    <w:rsid w:val="00990961"/>
    <w:rsid w:val="009912AC"/>
    <w:rsid w:val="00991DAB"/>
    <w:rsid w:val="009923D8"/>
    <w:rsid w:val="00992632"/>
    <w:rsid w:val="009928FC"/>
    <w:rsid w:val="0099314D"/>
    <w:rsid w:val="00993ACC"/>
    <w:rsid w:val="009943B7"/>
    <w:rsid w:val="00994957"/>
    <w:rsid w:val="00994CBE"/>
    <w:rsid w:val="00995109"/>
    <w:rsid w:val="009954E8"/>
    <w:rsid w:val="0099574C"/>
    <w:rsid w:val="00996061"/>
    <w:rsid w:val="00997311"/>
    <w:rsid w:val="00997DB1"/>
    <w:rsid w:val="009A03C3"/>
    <w:rsid w:val="009A0681"/>
    <w:rsid w:val="009A109F"/>
    <w:rsid w:val="009A1130"/>
    <w:rsid w:val="009A1C36"/>
    <w:rsid w:val="009A1F49"/>
    <w:rsid w:val="009A20CF"/>
    <w:rsid w:val="009A31F9"/>
    <w:rsid w:val="009A340A"/>
    <w:rsid w:val="009A3DE3"/>
    <w:rsid w:val="009A44F9"/>
    <w:rsid w:val="009A45CF"/>
    <w:rsid w:val="009A46C3"/>
    <w:rsid w:val="009A4D41"/>
    <w:rsid w:val="009A57C9"/>
    <w:rsid w:val="009A5D64"/>
    <w:rsid w:val="009A631B"/>
    <w:rsid w:val="009A6810"/>
    <w:rsid w:val="009A7A40"/>
    <w:rsid w:val="009B0215"/>
    <w:rsid w:val="009B0DF3"/>
    <w:rsid w:val="009B1CC6"/>
    <w:rsid w:val="009B20D0"/>
    <w:rsid w:val="009B3830"/>
    <w:rsid w:val="009B3A02"/>
    <w:rsid w:val="009B43B0"/>
    <w:rsid w:val="009B52A1"/>
    <w:rsid w:val="009B5DFE"/>
    <w:rsid w:val="009B7285"/>
    <w:rsid w:val="009B7568"/>
    <w:rsid w:val="009C07AD"/>
    <w:rsid w:val="009C13B0"/>
    <w:rsid w:val="009C1A90"/>
    <w:rsid w:val="009C2462"/>
    <w:rsid w:val="009C2AD5"/>
    <w:rsid w:val="009C3790"/>
    <w:rsid w:val="009C3B63"/>
    <w:rsid w:val="009C436A"/>
    <w:rsid w:val="009C472A"/>
    <w:rsid w:val="009C4784"/>
    <w:rsid w:val="009C530E"/>
    <w:rsid w:val="009C64E6"/>
    <w:rsid w:val="009C6C4A"/>
    <w:rsid w:val="009C7097"/>
    <w:rsid w:val="009C748B"/>
    <w:rsid w:val="009C7877"/>
    <w:rsid w:val="009C7DFB"/>
    <w:rsid w:val="009C7EAD"/>
    <w:rsid w:val="009D0D00"/>
    <w:rsid w:val="009D1039"/>
    <w:rsid w:val="009D1A08"/>
    <w:rsid w:val="009D1A44"/>
    <w:rsid w:val="009D402C"/>
    <w:rsid w:val="009D4B62"/>
    <w:rsid w:val="009D5B6A"/>
    <w:rsid w:val="009D6300"/>
    <w:rsid w:val="009D6381"/>
    <w:rsid w:val="009D644C"/>
    <w:rsid w:val="009D6584"/>
    <w:rsid w:val="009D70C6"/>
    <w:rsid w:val="009D71FF"/>
    <w:rsid w:val="009D7546"/>
    <w:rsid w:val="009E06D8"/>
    <w:rsid w:val="009E1516"/>
    <w:rsid w:val="009E20E8"/>
    <w:rsid w:val="009E22C0"/>
    <w:rsid w:val="009E4E8F"/>
    <w:rsid w:val="009E5187"/>
    <w:rsid w:val="009E63C1"/>
    <w:rsid w:val="009E7B36"/>
    <w:rsid w:val="009E7C4D"/>
    <w:rsid w:val="009E7C89"/>
    <w:rsid w:val="009F0666"/>
    <w:rsid w:val="009F0703"/>
    <w:rsid w:val="009F081D"/>
    <w:rsid w:val="009F24E9"/>
    <w:rsid w:val="009F5CFC"/>
    <w:rsid w:val="009F66C9"/>
    <w:rsid w:val="009F6715"/>
    <w:rsid w:val="009F6D48"/>
    <w:rsid w:val="009F7B62"/>
    <w:rsid w:val="00A007A0"/>
    <w:rsid w:val="00A00CDF"/>
    <w:rsid w:val="00A018C0"/>
    <w:rsid w:val="00A01A0C"/>
    <w:rsid w:val="00A0221F"/>
    <w:rsid w:val="00A02636"/>
    <w:rsid w:val="00A03823"/>
    <w:rsid w:val="00A047B0"/>
    <w:rsid w:val="00A04D86"/>
    <w:rsid w:val="00A05752"/>
    <w:rsid w:val="00A062D4"/>
    <w:rsid w:val="00A067E1"/>
    <w:rsid w:val="00A06A67"/>
    <w:rsid w:val="00A06E7C"/>
    <w:rsid w:val="00A07890"/>
    <w:rsid w:val="00A11F05"/>
    <w:rsid w:val="00A1202F"/>
    <w:rsid w:val="00A12B2F"/>
    <w:rsid w:val="00A12CF2"/>
    <w:rsid w:val="00A13567"/>
    <w:rsid w:val="00A1402C"/>
    <w:rsid w:val="00A14394"/>
    <w:rsid w:val="00A148E5"/>
    <w:rsid w:val="00A14A3E"/>
    <w:rsid w:val="00A14A48"/>
    <w:rsid w:val="00A14BEF"/>
    <w:rsid w:val="00A15D1D"/>
    <w:rsid w:val="00A15FE8"/>
    <w:rsid w:val="00A162CB"/>
    <w:rsid w:val="00A168FD"/>
    <w:rsid w:val="00A16AA7"/>
    <w:rsid w:val="00A16BF5"/>
    <w:rsid w:val="00A174CC"/>
    <w:rsid w:val="00A17EB1"/>
    <w:rsid w:val="00A17EF2"/>
    <w:rsid w:val="00A17F24"/>
    <w:rsid w:val="00A20D4B"/>
    <w:rsid w:val="00A20EBD"/>
    <w:rsid w:val="00A20EBE"/>
    <w:rsid w:val="00A21339"/>
    <w:rsid w:val="00A21A64"/>
    <w:rsid w:val="00A22213"/>
    <w:rsid w:val="00A22A4B"/>
    <w:rsid w:val="00A23868"/>
    <w:rsid w:val="00A23A4F"/>
    <w:rsid w:val="00A246C2"/>
    <w:rsid w:val="00A26161"/>
    <w:rsid w:val="00A264C9"/>
    <w:rsid w:val="00A27165"/>
    <w:rsid w:val="00A274E3"/>
    <w:rsid w:val="00A27BC7"/>
    <w:rsid w:val="00A27C7A"/>
    <w:rsid w:val="00A3036C"/>
    <w:rsid w:val="00A31F4C"/>
    <w:rsid w:val="00A327EE"/>
    <w:rsid w:val="00A32BB5"/>
    <w:rsid w:val="00A32FB0"/>
    <w:rsid w:val="00A3318B"/>
    <w:rsid w:val="00A335AA"/>
    <w:rsid w:val="00A339AB"/>
    <w:rsid w:val="00A34E48"/>
    <w:rsid w:val="00A352CB"/>
    <w:rsid w:val="00A35C08"/>
    <w:rsid w:val="00A36E7E"/>
    <w:rsid w:val="00A37684"/>
    <w:rsid w:val="00A37C09"/>
    <w:rsid w:val="00A37D7D"/>
    <w:rsid w:val="00A400CD"/>
    <w:rsid w:val="00A406F8"/>
    <w:rsid w:val="00A408CC"/>
    <w:rsid w:val="00A40A85"/>
    <w:rsid w:val="00A40CFF"/>
    <w:rsid w:val="00A41210"/>
    <w:rsid w:val="00A4160F"/>
    <w:rsid w:val="00A417A6"/>
    <w:rsid w:val="00A42692"/>
    <w:rsid w:val="00A427FC"/>
    <w:rsid w:val="00A42D3E"/>
    <w:rsid w:val="00A42EE9"/>
    <w:rsid w:val="00A43448"/>
    <w:rsid w:val="00A43783"/>
    <w:rsid w:val="00A439DC"/>
    <w:rsid w:val="00A43E02"/>
    <w:rsid w:val="00A4414C"/>
    <w:rsid w:val="00A44D06"/>
    <w:rsid w:val="00A4526D"/>
    <w:rsid w:val="00A4578E"/>
    <w:rsid w:val="00A460F2"/>
    <w:rsid w:val="00A463EF"/>
    <w:rsid w:val="00A47F1F"/>
    <w:rsid w:val="00A500AF"/>
    <w:rsid w:val="00A50E7B"/>
    <w:rsid w:val="00A50F16"/>
    <w:rsid w:val="00A512AA"/>
    <w:rsid w:val="00A51896"/>
    <w:rsid w:val="00A51B73"/>
    <w:rsid w:val="00A51C23"/>
    <w:rsid w:val="00A526DA"/>
    <w:rsid w:val="00A531F4"/>
    <w:rsid w:val="00A532B4"/>
    <w:rsid w:val="00A53398"/>
    <w:rsid w:val="00A546C6"/>
    <w:rsid w:val="00A5513A"/>
    <w:rsid w:val="00A55499"/>
    <w:rsid w:val="00A562C8"/>
    <w:rsid w:val="00A56988"/>
    <w:rsid w:val="00A56EF9"/>
    <w:rsid w:val="00A56FFF"/>
    <w:rsid w:val="00A57286"/>
    <w:rsid w:val="00A5791A"/>
    <w:rsid w:val="00A61545"/>
    <w:rsid w:val="00A61906"/>
    <w:rsid w:val="00A62594"/>
    <w:rsid w:val="00A62A8C"/>
    <w:rsid w:val="00A6375F"/>
    <w:rsid w:val="00A6467F"/>
    <w:rsid w:val="00A65054"/>
    <w:rsid w:val="00A650CF"/>
    <w:rsid w:val="00A6549F"/>
    <w:rsid w:val="00A656F2"/>
    <w:rsid w:val="00A6782D"/>
    <w:rsid w:val="00A678BF"/>
    <w:rsid w:val="00A67FA2"/>
    <w:rsid w:val="00A70A09"/>
    <w:rsid w:val="00A70B8B"/>
    <w:rsid w:val="00A710C0"/>
    <w:rsid w:val="00A7174A"/>
    <w:rsid w:val="00A71C04"/>
    <w:rsid w:val="00A73507"/>
    <w:rsid w:val="00A73699"/>
    <w:rsid w:val="00A73780"/>
    <w:rsid w:val="00A73F22"/>
    <w:rsid w:val="00A74E9D"/>
    <w:rsid w:val="00A757AD"/>
    <w:rsid w:val="00A75BC4"/>
    <w:rsid w:val="00A75C58"/>
    <w:rsid w:val="00A761D3"/>
    <w:rsid w:val="00A77976"/>
    <w:rsid w:val="00A809E0"/>
    <w:rsid w:val="00A80FA0"/>
    <w:rsid w:val="00A81050"/>
    <w:rsid w:val="00A81B8C"/>
    <w:rsid w:val="00A82858"/>
    <w:rsid w:val="00A8349E"/>
    <w:rsid w:val="00A83516"/>
    <w:rsid w:val="00A83519"/>
    <w:rsid w:val="00A83538"/>
    <w:rsid w:val="00A84545"/>
    <w:rsid w:val="00A84F48"/>
    <w:rsid w:val="00A85B66"/>
    <w:rsid w:val="00A85CE1"/>
    <w:rsid w:val="00A85CFD"/>
    <w:rsid w:val="00A860CC"/>
    <w:rsid w:val="00A86C19"/>
    <w:rsid w:val="00A86D64"/>
    <w:rsid w:val="00A872D4"/>
    <w:rsid w:val="00A87C8B"/>
    <w:rsid w:val="00A90020"/>
    <w:rsid w:val="00A90060"/>
    <w:rsid w:val="00A908DC"/>
    <w:rsid w:val="00A91367"/>
    <w:rsid w:val="00A91BC0"/>
    <w:rsid w:val="00A93737"/>
    <w:rsid w:val="00A94067"/>
    <w:rsid w:val="00A95176"/>
    <w:rsid w:val="00A9528F"/>
    <w:rsid w:val="00A95673"/>
    <w:rsid w:val="00A95C82"/>
    <w:rsid w:val="00A96619"/>
    <w:rsid w:val="00A97A5E"/>
    <w:rsid w:val="00AA02F8"/>
    <w:rsid w:val="00AA08D0"/>
    <w:rsid w:val="00AA0C83"/>
    <w:rsid w:val="00AA122F"/>
    <w:rsid w:val="00AA17A5"/>
    <w:rsid w:val="00AA2AA4"/>
    <w:rsid w:val="00AA2E56"/>
    <w:rsid w:val="00AA3757"/>
    <w:rsid w:val="00AA3B6A"/>
    <w:rsid w:val="00AA456F"/>
    <w:rsid w:val="00AA52E6"/>
    <w:rsid w:val="00AA5940"/>
    <w:rsid w:val="00AA769C"/>
    <w:rsid w:val="00AA79F9"/>
    <w:rsid w:val="00AA7A7A"/>
    <w:rsid w:val="00AA7AA5"/>
    <w:rsid w:val="00AA7D18"/>
    <w:rsid w:val="00AB1438"/>
    <w:rsid w:val="00AB2AFF"/>
    <w:rsid w:val="00AB2D20"/>
    <w:rsid w:val="00AB3A77"/>
    <w:rsid w:val="00AB3A98"/>
    <w:rsid w:val="00AB3D39"/>
    <w:rsid w:val="00AB3DF8"/>
    <w:rsid w:val="00AB3E4D"/>
    <w:rsid w:val="00AB4026"/>
    <w:rsid w:val="00AB40C4"/>
    <w:rsid w:val="00AC008A"/>
    <w:rsid w:val="00AC1823"/>
    <w:rsid w:val="00AC2080"/>
    <w:rsid w:val="00AC23B3"/>
    <w:rsid w:val="00AC2805"/>
    <w:rsid w:val="00AC2BBC"/>
    <w:rsid w:val="00AC2E9A"/>
    <w:rsid w:val="00AC3287"/>
    <w:rsid w:val="00AC3611"/>
    <w:rsid w:val="00AC37DF"/>
    <w:rsid w:val="00AC3CDE"/>
    <w:rsid w:val="00AC5122"/>
    <w:rsid w:val="00AC656B"/>
    <w:rsid w:val="00AC7FF2"/>
    <w:rsid w:val="00AD179C"/>
    <w:rsid w:val="00AD19F5"/>
    <w:rsid w:val="00AD2EB0"/>
    <w:rsid w:val="00AD320D"/>
    <w:rsid w:val="00AD368F"/>
    <w:rsid w:val="00AD3808"/>
    <w:rsid w:val="00AD40C2"/>
    <w:rsid w:val="00AD5179"/>
    <w:rsid w:val="00AD52CE"/>
    <w:rsid w:val="00AD6841"/>
    <w:rsid w:val="00AD7138"/>
    <w:rsid w:val="00AD74AA"/>
    <w:rsid w:val="00AD7D98"/>
    <w:rsid w:val="00AE0003"/>
    <w:rsid w:val="00AE0A66"/>
    <w:rsid w:val="00AE0EAF"/>
    <w:rsid w:val="00AE0F3D"/>
    <w:rsid w:val="00AE11DF"/>
    <w:rsid w:val="00AE1F4C"/>
    <w:rsid w:val="00AE309E"/>
    <w:rsid w:val="00AE34A2"/>
    <w:rsid w:val="00AE3517"/>
    <w:rsid w:val="00AE4C65"/>
    <w:rsid w:val="00AE516D"/>
    <w:rsid w:val="00AE5799"/>
    <w:rsid w:val="00AE5899"/>
    <w:rsid w:val="00AE63C1"/>
    <w:rsid w:val="00AE6E5C"/>
    <w:rsid w:val="00AE7755"/>
    <w:rsid w:val="00AF03E1"/>
    <w:rsid w:val="00AF03F4"/>
    <w:rsid w:val="00AF0672"/>
    <w:rsid w:val="00AF0F15"/>
    <w:rsid w:val="00AF1496"/>
    <w:rsid w:val="00AF247A"/>
    <w:rsid w:val="00AF3504"/>
    <w:rsid w:val="00AF6860"/>
    <w:rsid w:val="00AF7704"/>
    <w:rsid w:val="00AF790A"/>
    <w:rsid w:val="00AF7A11"/>
    <w:rsid w:val="00B00B2D"/>
    <w:rsid w:val="00B00C53"/>
    <w:rsid w:val="00B00C5B"/>
    <w:rsid w:val="00B02952"/>
    <w:rsid w:val="00B02B2E"/>
    <w:rsid w:val="00B02C16"/>
    <w:rsid w:val="00B041BA"/>
    <w:rsid w:val="00B052A8"/>
    <w:rsid w:val="00B05713"/>
    <w:rsid w:val="00B05BEB"/>
    <w:rsid w:val="00B05C78"/>
    <w:rsid w:val="00B05FCF"/>
    <w:rsid w:val="00B0644E"/>
    <w:rsid w:val="00B067E1"/>
    <w:rsid w:val="00B07522"/>
    <w:rsid w:val="00B077B0"/>
    <w:rsid w:val="00B07A8B"/>
    <w:rsid w:val="00B106CE"/>
    <w:rsid w:val="00B10730"/>
    <w:rsid w:val="00B118F8"/>
    <w:rsid w:val="00B125F0"/>
    <w:rsid w:val="00B12A43"/>
    <w:rsid w:val="00B12DFB"/>
    <w:rsid w:val="00B1360E"/>
    <w:rsid w:val="00B1418C"/>
    <w:rsid w:val="00B14401"/>
    <w:rsid w:val="00B14CE7"/>
    <w:rsid w:val="00B15217"/>
    <w:rsid w:val="00B15369"/>
    <w:rsid w:val="00B159C9"/>
    <w:rsid w:val="00B15D67"/>
    <w:rsid w:val="00B15DC3"/>
    <w:rsid w:val="00B160AB"/>
    <w:rsid w:val="00B17690"/>
    <w:rsid w:val="00B20B1E"/>
    <w:rsid w:val="00B212E5"/>
    <w:rsid w:val="00B22896"/>
    <w:rsid w:val="00B24856"/>
    <w:rsid w:val="00B24BD5"/>
    <w:rsid w:val="00B251E8"/>
    <w:rsid w:val="00B25A17"/>
    <w:rsid w:val="00B25CA0"/>
    <w:rsid w:val="00B25F21"/>
    <w:rsid w:val="00B26144"/>
    <w:rsid w:val="00B26580"/>
    <w:rsid w:val="00B269BE"/>
    <w:rsid w:val="00B27579"/>
    <w:rsid w:val="00B279E6"/>
    <w:rsid w:val="00B31AAD"/>
    <w:rsid w:val="00B320A7"/>
    <w:rsid w:val="00B32998"/>
    <w:rsid w:val="00B32F00"/>
    <w:rsid w:val="00B3314B"/>
    <w:rsid w:val="00B3362C"/>
    <w:rsid w:val="00B342A6"/>
    <w:rsid w:val="00B34B81"/>
    <w:rsid w:val="00B35445"/>
    <w:rsid w:val="00B35565"/>
    <w:rsid w:val="00B369A0"/>
    <w:rsid w:val="00B372D6"/>
    <w:rsid w:val="00B37448"/>
    <w:rsid w:val="00B402FE"/>
    <w:rsid w:val="00B405A6"/>
    <w:rsid w:val="00B40957"/>
    <w:rsid w:val="00B41198"/>
    <w:rsid w:val="00B41CCA"/>
    <w:rsid w:val="00B42273"/>
    <w:rsid w:val="00B424EE"/>
    <w:rsid w:val="00B428DF"/>
    <w:rsid w:val="00B42EBD"/>
    <w:rsid w:val="00B443C6"/>
    <w:rsid w:val="00B44C50"/>
    <w:rsid w:val="00B45766"/>
    <w:rsid w:val="00B47508"/>
    <w:rsid w:val="00B47632"/>
    <w:rsid w:val="00B476C2"/>
    <w:rsid w:val="00B479CD"/>
    <w:rsid w:val="00B5098F"/>
    <w:rsid w:val="00B51061"/>
    <w:rsid w:val="00B51256"/>
    <w:rsid w:val="00B5187D"/>
    <w:rsid w:val="00B51BAE"/>
    <w:rsid w:val="00B52623"/>
    <w:rsid w:val="00B5354F"/>
    <w:rsid w:val="00B535B7"/>
    <w:rsid w:val="00B539AF"/>
    <w:rsid w:val="00B53A0D"/>
    <w:rsid w:val="00B53F21"/>
    <w:rsid w:val="00B54CB5"/>
    <w:rsid w:val="00B54E75"/>
    <w:rsid w:val="00B55266"/>
    <w:rsid w:val="00B55F70"/>
    <w:rsid w:val="00B565E4"/>
    <w:rsid w:val="00B57575"/>
    <w:rsid w:val="00B575F5"/>
    <w:rsid w:val="00B57A6F"/>
    <w:rsid w:val="00B6056B"/>
    <w:rsid w:val="00B606E9"/>
    <w:rsid w:val="00B60B0C"/>
    <w:rsid w:val="00B60BE0"/>
    <w:rsid w:val="00B611E6"/>
    <w:rsid w:val="00B612EE"/>
    <w:rsid w:val="00B6171D"/>
    <w:rsid w:val="00B61938"/>
    <w:rsid w:val="00B6206A"/>
    <w:rsid w:val="00B62912"/>
    <w:rsid w:val="00B63E12"/>
    <w:rsid w:val="00B64163"/>
    <w:rsid w:val="00B64BEA"/>
    <w:rsid w:val="00B6526E"/>
    <w:rsid w:val="00B6611A"/>
    <w:rsid w:val="00B66E41"/>
    <w:rsid w:val="00B670A0"/>
    <w:rsid w:val="00B670E7"/>
    <w:rsid w:val="00B70905"/>
    <w:rsid w:val="00B71396"/>
    <w:rsid w:val="00B718F3"/>
    <w:rsid w:val="00B727D1"/>
    <w:rsid w:val="00B72882"/>
    <w:rsid w:val="00B72A5A"/>
    <w:rsid w:val="00B72B11"/>
    <w:rsid w:val="00B72B17"/>
    <w:rsid w:val="00B7349A"/>
    <w:rsid w:val="00B73727"/>
    <w:rsid w:val="00B73954"/>
    <w:rsid w:val="00B747AC"/>
    <w:rsid w:val="00B74AF7"/>
    <w:rsid w:val="00B74E21"/>
    <w:rsid w:val="00B75689"/>
    <w:rsid w:val="00B764C5"/>
    <w:rsid w:val="00B76D14"/>
    <w:rsid w:val="00B76F93"/>
    <w:rsid w:val="00B77536"/>
    <w:rsid w:val="00B8029D"/>
    <w:rsid w:val="00B80A48"/>
    <w:rsid w:val="00B816B6"/>
    <w:rsid w:val="00B82090"/>
    <w:rsid w:val="00B823A3"/>
    <w:rsid w:val="00B83E6D"/>
    <w:rsid w:val="00B8403D"/>
    <w:rsid w:val="00B84926"/>
    <w:rsid w:val="00B856C7"/>
    <w:rsid w:val="00B85BD4"/>
    <w:rsid w:val="00B868A4"/>
    <w:rsid w:val="00B86DD1"/>
    <w:rsid w:val="00B87110"/>
    <w:rsid w:val="00B877B3"/>
    <w:rsid w:val="00B87811"/>
    <w:rsid w:val="00B87DEB"/>
    <w:rsid w:val="00B912CF"/>
    <w:rsid w:val="00B932E5"/>
    <w:rsid w:val="00B933C2"/>
    <w:rsid w:val="00B935C4"/>
    <w:rsid w:val="00B936C8"/>
    <w:rsid w:val="00B937A5"/>
    <w:rsid w:val="00B93B3E"/>
    <w:rsid w:val="00B941D1"/>
    <w:rsid w:val="00B946FB"/>
    <w:rsid w:val="00B955DE"/>
    <w:rsid w:val="00B95D16"/>
    <w:rsid w:val="00B9601F"/>
    <w:rsid w:val="00B964F3"/>
    <w:rsid w:val="00B9702C"/>
    <w:rsid w:val="00B970DD"/>
    <w:rsid w:val="00B97178"/>
    <w:rsid w:val="00B97A3C"/>
    <w:rsid w:val="00B97FE6"/>
    <w:rsid w:val="00BA05F6"/>
    <w:rsid w:val="00BA0D71"/>
    <w:rsid w:val="00BA11C1"/>
    <w:rsid w:val="00BA17B5"/>
    <w:rsid w:val="00BA2710"/>
    <w:rsid w:val="00BA3090"/>
    <w:rsid w:val="00BA30F2"/>
    <w:rsid w:val="00BA3480"/>
    <w:rsid w:val="00BA36B9"/>
    <w:rsid w:val="00BA4485"/>
    <w:rsid w:val="00BA44DB"/>
    <w:rsid w:val="00BA4BFE"/>
    <w:rsid w:val="00BA4EB0"/>
    <w:rsid w:val="00BA60E4"/>
    <w:rsid w:val="00BA6376"/>
    <w:rsid w:val="00BA790C"/>
    <w:rsid w:val="00BB0199"/>
    <w:rsid w:val="00BB0246"/>
    <w:rsid w:val="00BB0B44"/>
    <w:rsid w:val="00BB0D7F"/>
    <w:rsid w:val="00BB0E15"/>
    <w:rsid w:val="00BB1358"/>
    <w:rsid w:val="00BB1560"/>
    <w:rsid w:val="00BB168F"/>
    <w:rsid w:val="00BB1D5B"/>
    <w:rsid w:val="00BB1F4C"/>
    <w:rsid w:val="00BB2244"/>
    <w:rsid w:val="00BB2CBB"/>
    <w:rsid w:val="00BB3D17"/>
    <w:rsid w:val="00BB42D2"/>
    <w:rsid w:val="00BB43D5"/>
    <w:rsid w:val="00BB455D"/>
    <w:rsid w:val="00BB5FD6"/>
    <w:rsid w:val="00BB6322"/>
    <w:rsid w:val="00BB64AD"/>
    <w:rsid w:val="00BB64F5"/>
    <w:rsid w:val="00BB6AC9"/>
    <w:rsid w:val="00BB6BFE"/>
    <w:rsid w:val="00BC08B7"/>
    <w:rsid w:val="00BC1BF2"/>
    <w:rsid w:val="00BC1DF9"/>
    <w:rsid w:val="00BC1E9B"/>
    <w:rsid w:val="00BC3826"/>
    <w:rsid w:val="00BC3917"/>
    <w:rsid w:val="00BC3B17"/>
    <w:rsid w:val="00BC3B9B"/>
    <w:rsid w:val="00BC4915"/>
    <w:rsid w:val="00BC6990"/>
    <w:rsid w:val="00BC6A19"/>
    <w:rsid w:val="00BC6F96"/>
    <w:rsid w:val="00BC7D91"/>
    <w:rsid w:val="00BC7DB7"/>
    <w:rsid w:val="00BC7E38"/>
    <w:rsid w:val="00BD0ACF"/>
    <w:rsid w:val="00BD0F19"/>
    <w:rsid w:val="00BD1250"/>
    <w:rsid w:val="00BD144B"/>
    <w:rsid w:val="00BD2C3B"/>
    <w:rsid w:val="00BD4324"/>
    <w:rsid w:val="00BD516A"/>
    <w:rsid w:val="00BD538F"/>
    <w:rsid w:val="00BD5667"/>
    <w:rsid w:val="00BD57B9"/>
    <w:rsid w:val="00BD64CB"/>
    <w:rsid w:val="00BD661D"/>
    <w:rsid w:val="00BD6F1C"/>
    <w:rsid w:val="00BD76E0"/>
    <w:rsid w:val="00BD7E86"/>
    <w:rsid w:val="00BE0258"/>
    <w:rsid w:val="00BE0F96"/>
    <w:rsid w:val="00BE1910"/>
    <w:rsid w:val="00BE1ADA"/>
    <w:rsid w:val="00BE23AA"/>
    <w:rsid w:val="00BE255E"/>
    <w:rsid w:val="00BE2A98"/>
    <w:rsid w:val="00BE2EE5"/>
    <w:rsid w:val="00BE37AA"/>
    <w:rsid w:val="00BE430A"/>
    <w:rsid w:val="00BE4F55"/>
    <w:rsid w:val="00BE60F8"/>
    <w:rsid w:val="00BE6B2D"/>
    <w:rsid w:val="00BE71AB"/>
    <w:rsid w:val="00BE7B78"/>
    <w:rsid w:val="00BF07FD"/>
    <w:rsid w:val="00BF145E"/>
    <w:rsid w:val="00BF2C42"/>
    <w:rsid w:val="00BF2D9F"/>
    <w:rsid w:val="00BF2F3C"/>
    <w:rsid w:val="00BF3BBC"/>
    <w:rsid w:val="00BF4717"/>
    <w:rsid w:val="00BF502C"/>
    <w:rsid w:val="00BF5654"/>
    <w:rsid w:val="00BF5A83"/>
    <w:rsid w:val="00BF5BBE"/>
    <w:rsid w:val="00BF5E30"/>
    <w:rsid w:val="00BF701D"/>
    <w:rsid w:val="00BF7346"/>
    <w:rsid w:val="00BF766F"/>
    <w:rsid w:val="00C00034"/>
    <w:rsid w:val="00C02955"/>
    <w:rsid w:val="00C02B12"/>
    <w:rsid w:val="00C03280"/>
    <w:rsid w:val="00C03349"/>
    <w:rsid w:val="00C03856"/>
    <w:rsid w:val="00C04F33"/>
    <w:rsid w:val="00C05B4C"/>
    <w:rsid w:val="00C0600D"/>
    <w:rsid w:val="00C06425"/>
    <w:rsid w:val="00C0692F"/>
    <w:rsid w:val="00C06AB4"/>
    <w:rsid w:val="00C06F5A"/>
    <w:rsid w:val="00C07433"/>
    <w:rsid w:val="00C07F05"/>
    <w:rsid w:val="00C1017C"/>
    <w:rsid w:val="00C117DE"/>
    <w:rsid w:val="00C11B44"/>
    <w:rsid w:val="00C11BF3"/>
    <w:rsid w:val="00C1270D"/>
    <w:rsid w:val="00C127F5"/>
    <w:rsid w:val="00C12990"/>
    <w:rsid w:val="00C13601"/>
    <w:rsid w:val="00C13E93"/>
    <w:rsid w:val="00C14577"/>
    <w:rsid w:val="00C1461E"/>
    <w:rsid w:val="00C14C62"/>
    <w:rsid w:val="00C15CD6"/>
    <w:rsid w:val="00C16615"/>
    <w:rsid w:val="00C169C0"/>
    <w:rsid w:val="00C169F0"/>
    <w:rsid w:val="00C17686"/>
    <w:rsid w:val="00C17C72"/>
    <w:rsid w:val="00C17D47"/>
    <w:rsid w:val="00C2063A"/>
    <w:rsid w:val="00C20FED"/>
    <w:rsid w:val="00C21298"/>
    <w:rsid w:val="00C21940"/>
    <w:rsid w:val="00C21A3F"/>
    <w:rsid w:val="00C2335E"/>
    <w:rsid w:val="00C234F2"/>
    <w:rsid w:val="00C24F81"/>
    <w:rsid w:val="00C24FF1"/>
    <w:rsid w:val="00C258F9"/>
    <w:rsid w:val="00C26019"/>
    <w:rsid w:val="00C26438"/>
    <w:rsid w:val="00C264C8"/>
    <w:rsid w:val="00C265A5"/>
    <w:rsid w:val="00C26B9F"/>
    <w:rsid w:val="00C27705"/>
    <w:rsid w:val="00C31910"/>
    <w:rsid w:val="00C31EFE"/>
    <w:rsid w:val="00C32578"/>
    <w:rsid w:val="00C32814"/>
    <w:rsid w:val="00C328B9"/>
    <w:rsid w:val="00C32AEC"/>
    <w:rsid w:val="00C33367"/>
    <w:rsid w:val="00C335B9"/>
    <w:rsid w:val="00C33A0A"/>
    <w:rsid w:val="00C33B59"/>
    <w:rsid w:val="00C34114"/>
    <w:rsid w:val="00C3434D"/>
    <w:rsid w:val="00C34E7C"/>
    <w:rsid w:val="00C3516F"/>
    <w:rsid w:val="00C36382"/>
    <w:rsid w:val="00C37863"/>
    <w:rsid w:val="00C37891"/>
    <w:rsid w:val="00C37BED"/>
    <w:rsid w:val="00C40AE6"/>
    <w:rsid w:val="00C418D0"/>
    <w:rsid w:val="00C4230F"/>
    <w:rsid w:val="00C425A9"/>
    <w:rsid w:val="00C4269B"/>
    <w:rsid w:val="00C43463"/>
    <w:rsid w:val="00C44053"/>
    <w:rsid w:val="00C446C6"/>
    <w:rsid w:val="00C44901"/>
    <w:rsid w:val="00C44D9F"/>
    <w:rsid w:val="00C45AB2"/>
    <w:rsid w:val="00C472CE"/>
    <w:rsid w:val="00C47669"/>
    <w:rsid w:val="00C47DC2"/>
    <w:rsid w:val="00C50031"/>
    <w:rsid w:val="00C500BB"/>
    <w:rsid w:val="00C508EB"/>
    <w:rsid w:val="00C511F2"/>
    <w:rsid w:val="00C51F16"/>
    <w:rsid w:val="00C52245"/>
    <w:rsid w:val="00C52D65"/>
    <w:rsid w:val="00C53DBC"/>
    <w:rsid w:val="00C548DC"/>
    <w:rsid w:val="00C555A2"/>
    <w:rsid w:val="00C55882"/>
    <w:rsid w:val="00C55D89"/>
    <w:rsid w:val="00C55F3F"/>
    <w:rsid w:val="00C564EF"/>
    <w:rsid w:val="00C56CA7"/>
    <w:rsid w:val="00C56D5F"/>
    <w:rsid w:val="00C56D8B"/>
    <w:rsid w:val="00C56EE2"/>
    <w:rsid w:val="00C570E1"/>
    <w:rsid w:val="00C57124"/>
    <w:rsid w:val="00C57C4D"/>
    <w:rsid w:val="00C57E8D"/>
    <w:rsid w:val="00C60681"/>
    <w:rsid w:val="00C608F5"/>
    <w:rsid w:val="00C6140F"/>
    <w:rsid w:val="00C6143E"/>
    <w:rsid w:val="00C615BC"/>
    <w:rsid w:val="00C6201D"/>
    <w:rsid w:val="00C62148"/>
    <w:rsid w:val="00C621BB"/>
    <w:rsid w:val="00C632C7"/>
    <w:rsid w:val="00C63856"/>
    <w:rsid w:val="00C6435B"/>
    <w:rsid w:val="00C655F5"/>
    <w:rsid w:val="00C65AD6"/>
    <w:rsid w:val="00C65E21"/>
    <w:rsid w:val="00C66532"/>
    <w:rsid w:val="00C666EF"/>
    <w:rsid w:val="00C66DAC"/>
    <w:rsid w:val="00C678C4"/>
    <w:rsid w:val="00C67E19"/>
    <w:rsid w:val="00C70349"/>
    <w:rsid w:val="00C70F60"/>
    <w:rsid w:val="00C72524"/>
    <w:rsid w:val="00C72F60"/>
    <w:rsid w:val="00C759C5"/>
    <w:rsid w:val="00C75B10"/>
    <w:rsid w:val="00C76559"/>
    <w:rsid w:val="00C7698A"/>
    <w:rsid w:val="00C76F44"/>
    <w:rsid w:val="00C7727E"/>
    <w:rsid w:val="00C8155C"/>
    <w:rsid w:val="00C81BB3"/>
    <w:rsid w:val="00C81C9F"/>
    <w:rsid w:val="00C8210C"/>
    <w:rsid w:val="00C82124"/>
    <w:rsid w:val="00C822D7"/>
    <w:rsid w:val="00C83976"/>
    <w:rsid w:val="00C83B5C"/>
    <w:rsid w:val="00C84428"/>
    <w:rsid w:val="00C85120"/>
    <w:rsid w:val="00C8517A"/>
    <w:rsid w:val="00C85571"/>
    <w:rsid w:val="00C85D09"/>
    <w:rsid w:val="00C86456"/>
    <w:rsid w:val="00C913D9"/>
    <w:rsid w:val="00C91FBB"/>
    <w:rsid w:val="00C9267A"/>
    <w:rsid w:val="00C92A02"/>
    <w:rsid w:val="00C93536"/>
    <w:rsid w:val="00C936D4"/>
    <w:rsid w:val="00C9377F"/>
    <w:rsid w:val="00C93818"/>
    <w:rsid w:val="00C94F50"/>
    <w:rsid w:val="00C95186"/>
    <w:rsid w:val="00C9593D"/>
    <w:rsid w:val="00C95C1D"/>
    <w:rsid w:val="00C9628F"/>
    <w:rsid w:val="00C9636B"/>
    <w:rsid w:val="00C96557"/>
    <w:rsid w:val="00C96685"/>
    <w:rsid w:val="00C96BE5"/>
    <w:rsid w:val="00C970A8"/>
    <w:rsid w:val="00C9783A"/>
    <w:rsid w:val="00C97E20"/>
    <w:rsid w:val="00C97E81"/>
    <w:rsid w:val="00CA11EC"/>
    <w:rsid w:val="00CA23DF"/>
    <w:rsid w:val="00CA2A25"/>
    <w:rsid w:val="00CA35A0"/>
    <w:rsid w:val="00CA393C"/>
    <w:rsid w:val="00CA3E56"/>
    <w:rsid w:val="00CA536A"/>
    <w:rsid w:val="00CA6A18"/>
    <w:rsid w:val="00CA7D0B"/>
    <w:rsid w:val="00CB186F"/>
    <w:rsid w:val="00CB2231"/>
    <w:rsid w:val="00CB2344"/>
    <w:rsid w:val="00CB376C"/>
    <w:rsid w:val="00CB3B32"/>
    <w:rsid w:val="00CB58EE"/>
    <w:rsid w:val="00CB5A08"/>
    <w:rsid w:val="00CB637F"/>
    <w:rsid w:val="00CB732E"/>
    <w:rsid w:val="00CB7B16"/>
    <w:rsid w:val="00CB7EC1"/>
    <w:rsid w:val="00CC03DC"/>
    <w:rsid w:val="00CC066B"/>
    <w:rsid w:val="00CC0F04"/>
    <w:rsid w:val="00CC2548"/>
    <w:rsid w:val="00CC34C1"/>
    <w:rsid w:val="00CC4995"/>
    <w:rsid w:val="00CC4C98"/>
    <w:rsid w:val="00CC4D28"/>
    <w:rsid w:val="00CC50B0"/>
    <w:rsid w:val="00CC52CD"/>
    <w:rsid w:val="00CC52D8"/>
    <w:rsid w:val="00CC5FB6"/>
    <w:rsid w:val="00CC6565"/>
    <w:rsid w:val="00CC658B"/>
    <w:rsid w:val="00CC7080"/>
    <w:rsid w:val="00CD069D"/>
    <w:rsid w:val="00CD0777"/>
    <w:rsid w:val="00CD09E5"/>
    <w:rsid w:val="00CD0A54"/>
    <w:rsid w:val="00CD14AB"/>
    <w:rsid w:val="00CD197E"/>
    <w:rsid w:val="00CD3190"/>
    <w:rsid w:val="00CD3C00"/>
    <w:rsid w:val="00CD511C"/>
    <w:rsid w:val="00CD63F3"/>
    <w:rsid w:val="00CD69EE"/>
    <w:rsid w:val="00CD6EB3"/>
    <w:rsid w:val="00CD6EF5"/>
    <w:rsid w:val="00CD6FDA"/>
    <w:rsid w:val="00CD76BC"/>
    <w:rsid w:val="00CD7A4C"/>
    <w:rsid w:val="00CD7E47"/>
    <w:rsid w:val="00CD7FC0"/>
    <w:rsid w:val="00CE105F"/>
    <w:rsid w:val="00CE1838"/>
    <w:rsid w:val="00CE1EED"/>
    <w:rsid w:val="00CE2D73"/>
    <w:rsid w:val="00CE31D0"/>
    <w:rsid w:val="00CE487B"/>
    <w:rsid w:val="00CE4C76"/>
    <w:rsid w:val="00CE5489"/>
    <w:rsid w:val="00CE5A88"/>
    <w:rsid w:val="00CE61B1"/>
    <w:rsid w:val="00CE661A"/>
    <w:rsid w:val="00CE7048"/>
    <w:rsid w:val="00CE70EF"/>
    <w:rsid w:val="00CE76F4"/>
    <w:rsid w:val="00CE7D2D"/>
    <w:rsid w:val="00CF021D"/>
    <w:rsid w:val="00CF070B"/>
    <w:rsid w:val="00CF0CBE"/>
    <w:rsid w:val="00CF0CF0"/>
    <w:rsid w:val="00CF0D50"/>
    <w:rsid w:val="00CF1ED2"/>
    <w:rsid w:val="00CF37C0"/>
    <w:rsid w:val="00CF3EDF"/>
    <w:rsid w:val="00CF42B0"/>
    <w:rsid w:val="00CF4D50"/>
    <w:rsid w:val="00CF5242"/>
    <w:rsid w:val="00CF53B1"/>
    <w:rsid w:val="00CF66B8"/>
    <w:rsid w:val="00CF7D2B"/>
    <w:rsid w:val="00D0009F"/>
    <w:rsid w:val="00D00205"/>
    <w:rsid w:val="00D005AB"/>
    <w:rsid w:val="00D006C3"/>
    <w:rsid w:val="00D01342"/>
    <w:rsid w:val="00D01534"/>
    <w:rsid w:val="00D015D5"/>
    <w:rsid w:val="00D01C4F"/>
    <w:rsid w:val="00D03D58"/>
    <w:rsid w:val="00D04106"/>
    <w:rsid w:val="00D0546F"/>
    <w:rsid w:val="00D05DF2"/>
    <w:rsid w:val="00D06668"/>
    <w:rsid w:val="00D072BE"/>
    <w:rsid w:val="00D1001E"/>
    <w:rsid w:val="00D101FA"/>
    <w:rsid w:val="00D11382"/>
    <w:rsid w:val="00D11748"/>
    <w:rsid w:val="00D1326C"/>
    <w:rsid w:val="00D13F53"/>
    <w:rsid w:val="00D141DF"/>
    <w:rsid w:val="00D14CC2"/>
    <w:rsid w:val="00D14D67"/>
    <w:rsid w:val="00D15EE8"/>
    <w:rsid w:val="00D16040"/>
    <w:rsid w:val="00D164CF"/>
    <w:rsid w:val="00D17693"/>
    <w:rsid w:val="00D178EA"/>
    <w:rsid w:val="00D17AA5"/>
    <w:rsid w:val="00D17BF9"/>
    <w:rsid w:val="00D17D4E"/>
    <w:rsid w:val="00D20496"/>
    <w:rsid w:val="00D207AC"/>
    <w:rsid w:val="00D228FC"/>
    <w:rsid w:val="00D231C5"/>
    <w:rsid w:val="00D23497"/>
    <w:rsid w:val="00D240C9"/>
    <w:rsid w:val="00D24BF1"/>
    <w:rsid w:val="00D25D43"/>
    <w:rsid w:val="00D27512"/>
    <w:rsid w:val="00D27760"/>
    <w:rsid w:val="00D300FF"/>
    <w:rsid w:val="00D30C3B"/>
    <w:rsid w:val="00D310D9"/>
    <w:rsid w:val="00D31168"/>
    <w:rsid w:val="00D32015"/>
    <w:rsid w:val="00D32450"/>
    <w:rsid w:val="00D32536"/>
    <w:rsid w:val="00D338C0"/>
    <w:rsid w:val="00D365EA"/>
    <w:rsid w:val="00D36D6D"/>
    <w:rsid w:val="00D41D67"/>
    <w:rsid w:val="00D42859"/>
    <w:rsid w:val="00D4397D"/>
    <w:rsid w:val="00D43F87"/>
    <w:rsid w:val="00D440E3"/>
    <w:rsid w:val="00D4440C"/>
    <w:rsid w:val="00D44EF4"/>
    <w:rsid w:val="00D45712"/>
    <w:rsid w:val="00D457E3"/>
    <w:rsid w:val="00D45A64"/>
    <w:rsid w:val="00D45CA2"/>
    <w:rsid w:val="00D462AD"/>
    <w:rsid w:val="00D46894"/>
    <w:rsid w:val="00D51671"/>
    <w:rsid w:val="00D51696"/>
    <w:rsid w:val="00D516B8"/>
    <w:rsid w:val="00D539C0"/>
    <w:rsid w:val="00D53C07"/>
    <w:rsid w:val="00D53DE7"/>
    <w:rsid w:val="00D543A5"/>
    <w:rsid w:val="00D544F5"/>
    <w:rsid w:val="00D54683"/>
    <w:rsid w:val="00D548B4"/>
    <w:rsid w:val="00D54BF1"/>
    <w:rsid w:val="00D55BB0"/>
    <w:rsid w:val="00D57D82"/>
    <w:rsid w:val="00D614AF"/>
    <w:rsid w:val="00D6176E"/>
    <w:rsid w:val="00D622A7"/>
    <w:rsid w:val="00D6271D"/>
    <w:rsid w:val="00D62F87"/>
    <w:rsid w:val="00D630ED"/>
    <w:rsid w:val="00D63391"/>
    <w:rsid w:val="00D6361C"/>
    <w:rsid w:val="00D65178"/>
    <w:rsid w:val="00D660FB"/>
    <w:rsid w:val="00D667E6"/>
    <w:rsid w:val="00D66D4D"/>
    <w:rsid w:val="00D67E1E"/>
    <w:rsid w:val="00D716BC"/>
    <w:rsid w:val="00D71935"/>
    <w:rsid w:val="00D7284A"/>
    <w:rsid w:val="00D729AC"/>
    <w:rsid w:val="00D72DA7"/>
    <w:rsid w:val="00D72E9E"/>
    <w:rsid w:val="00D737C5"/>
    <w:rsid w:val="00D739D5"/>
    <w:rsid w:val="00D74756"/>
    <w:rsid w:val="00D749FA"/>
    <w:rsid w:val="00D74CFB"/>
    <w:rsid w:val="00D753A0"/>
    <w:rsid w:val="00D75425"/>
    <w:rsid w:val="00D75B82"/>
    <w:rsid w:val="00D76A7A"/>
    <w:rsid w:val="00D76B83"/>
    <w:rsid w:val="00D76BEC"/>
    <w:rsid w:val="00D76C70"/>
    <w:rsid w:val="00D76FA7"/>
    <w:rsid w:val="00D77207"/>
    <w:rsid w:val="00D77279"/>
    <w:rsid w:val="00D7733E"/>
    <w:rsid w:val="00D774D2"/>
    <w:rsid w:val="00D8086E"/>
    <w:rsid w:val="00D811AB"/>
    <w:rsid w:val="00D81BEA"/>
    <w:rsid w:val="00D8227F"/>
    <w:rsid w:val="00D825F8"/>
    <w:rsid w:val="00D82755"/>
    <w:rsid w:val="00D83187"/>
    <w:rsid w:val="00D83317"/>
    <w:rsid w:val="00D83BE4"/>
    <w:rsid w:val="00D83C28"/>
    <w:rsid w:val="00D84578"/>
    <w:rsid w:val="00D85069"/>
    <w:rsid w:val="00D8714D"/>
    <w:rsid w:val="00D87B19"/>
    <w:rsid w:val="00D9062A"/>
    <w:rsid w:val="00D90BE0"/>
    <w:rsid w:val="00D91408"/>
    <w:rsid w:val="00D91613"/>
    <w:rsid w:val="00D916D7"/>
    <w:rsid w:val="00D91976"/>
    <w:rsid w:val="00D920F8"/>
    <w:rsid w:val="00D92A06"/>
    <w:rsid w:val="00D92A96"/>
    <w:rsid w:val="00D92B94"/>
    <w:rsid w:val="00D9321F"/>
    <w:rsid w:val="00D935F4"/>
    <w:rsid w:val="00D93E77"/>
    <w:rsid w:val="00D94167"/>
    <w:rsid w:val="00D94493"/>
    <w:rsid w:val="00D94948"/>
    <w:rsid w:val="00D95438"/>
    <w:rsid w:val="00D965D8"/>
    <w:rsid w:val="00D965FD"/>
    <w:rsid w:val="00D96D38"/>
    <w:rsid w:val="00D9734B"/>
    <w:rsid w:val="00D97398"/>
    <w:rsid w:val="00D975DD"/>
    <w:rsid w:val="00DA10B0"/>
    <w:rsid w:val="00DA1528"/>
    <w:rsid w:val="00DA1617"/>
    <w:rsid w:val="00DA1671"/>
    <w:rsid w:val="00DA213D"/>
    <w:rsid w:val="00DA27F6"/>
    <w:rsid w:val="00DA2F4E"/>
    <w:rsid w:val="00DA37D5"/>
    <w:rsid w:val="00DA381B"/>
    <w:rsid w:val="00DA4E74"/>
    <w:rsid w:val="00DA51DD"/>
    <w:rsid w:val="00DA5EBF"/>
    <w:rsid w:val="00DA6312"/>
    <w:rsid w:val="00DA6380"/>
    <w:rsid w:val="00DA68F7"/>
    <w:rsid w:val="00DA71ED"/>
    <w:rsid w:val="00DA74CC"/>
    <w:rsid w:val="00DB0429"/>
    <w:rsid w:val="00DB067E"/>
    <w:rsid w:val="00DB0DAB"/>
    <w:rsid w:val="00DB0F19"/>
    <w:rsid w:val="00DB1BDE"/>
    <w:rsid w:val="00DB1DEA"/>
    <w:rsid w:val="00DB299D"/>
    <w:rsid w:val="00DB366F"/>
    <w:rsid w:val="00DB371B"/>
    <w:rsid w:val="00DB3C76"/>
    <w:rsid w:val="00DB3EB3"/>
    <w:rsid w:val="00DB4118"/>
    <w:rsid w:val="00DB4287"/>
    <w:rsid w:val="00DB44D9"/>
    <w:rsid w:val="00DB460B"/>
    <w:rsid w:val="00DB577E"/>
    <w:rsid w:val="00DB624E"/>
    <w:rsid w:val="00DB6E88"/>
    <w:rsid w:val="00DB6F64"/>
    <w:rsid w:val="00DB7207"/>
    <w:rsid w:val="00DB721D"/>
    <w:rsid w:val="00DB7BF6"/>
    <w:rsid w:val="00DB7E9F"/>
    <w:rsid w:val="00DC1516"/>
    <w:rsid w:val="00DC16F4"/>
    <w:rsid w:val="00DC197F"/>
    <w:rsid w:val="00DC1A41"/>
    <w:rsid w:val="00DC215A"/>
    <w:rsid w:val="00DC22AF"/>
    <w:rsid w:val="00DC2691"/>
    <w:rsid w:val="00DC3D93"/>
    <w:rsid w:val="00DC49DA"/>
    <w:rsid w:val="00DC4C57"/>
    <w:rsid w:val="00DC5BE0"/>
    <w:rsid w:val="00DC63A1"/>
    <w:rsid w:val="00DC73AD"/>
    <w:rsid w:val="00DC7E5B"/>
    <w:rsid w:val="00DD0213"/>
    <w:rsid w:val="00DD0385"/>
    <w:rsid w:val="00DD1630"/>
    <w:rsid w:val="00DD1659"/>
    <w:rsid w:val="00DD1E81"/>
    <w:rsid w:val="00DD21F0"/>
    <w:rsid w:val="00DD241C"/>
    <w:rsid w:val="00DD278D"/>
    <w:rsid w:val="00DD284C"/>
    <w:rsid w:val="00DD2DD5"/>
    <w:rsid w:val="00DD36CA"/>
    <w:rsid w:val="00DD4F0C"/>
    <w:rsid w:val="00DD53F0"/>
    <w:rsid w:val="00DD5710"/>
    <w:rsid w:val="00DD580C"/>
    <w:rsid w:val="00DD6BE7"/>
    <w:rsid w:val="00DD6FD5"/>
    <w:rsid w:val="00DD72ED"/>
    <w:rsid w:val="00DE050E"/>
    <w:rsid w:val="00DE0752"/>
    <w:rsid w:val="00DE08ED"/>
    <w:rsid w:val="00DE0BEF"/>
    <w:rsid w:val="00DE0CA7"/>
    <w:rsid w:val="00DE0D3B"/>
    <w:rsid w:val="00DE0EBF"/>
    <w:rsid w:val="00DE129C"/>
    <w:rsid w:val="00DE159C"/>
    <w:rsid w:val="00DE15A8"/>
    <w:rsid w:val="00DE1A85"/>
    <w:rsid w:val="00DE2AF9"/>
    <w:rsid w:val="00DE30AE"/>
    <w:rsid w:val="00DE3D41"/>
    <w:rsid w:val="00DE45DC"/>
    <w:rsid w:val="00DE482F"/>
    <w:rsid w:val="00DE4F25"/>
    <w:rsid w:val="00DE51EE"/>
    <w:rsid w:val="00DE560E"/>
    <w:rsid w:val="00DE5AD2"/>
    <w:rsid w:val="00DE67C5"/>
    <w:rsid w:val="00DE6C87"/>
    <w:rsid w:val="00DE72EC"/>
    <w:rsid w:val="00DE75CE"/>
    <w:rsid w:val="00DE7B0B"/>
    <w:rsid w:val="00DE7ED9"/>
    <w:rsid w:val="00DF00A5"/>
    <w:rsid w:val="00DF020C"/>
    <w:rsid w:val="00DF037B"/>
    <w:rsid w:val="00DF08F1"/>
    <w:rsid w:val="00DF09EB"/>
    <w:rsid w:val="00DF14F4"/>
    <w:rsid w:val="00DF1A59"/>
    <w:rsid w:val="00DF26E1"/>
    <w:rsid w:val="00DF28AA"/>
    <w:rsid w:val="00DF29A3"/>
    <w:rsid w:val="00DF2B23"/>
    <w:rsid w:val="00DF2C34"/>
    <w:rsid w:val="00DF3DF5"/>
    <w:rsid w:val="00DF4A4F"/>
    <w:rsid w:val="00DF55F2"/>
    <w:rsid w:val="00DF5A63"/>
    <w:rsid w:val="00DF66FE"/>
    <w:rsid w:val="00DF6E61"/>
    <w:rsid w:val="00DF7185"/>
    <w:rsid w:val="00E0033F"/>
    <w:rsid w:val="00E003A4"/>
    <w:rsid w:val="00E019D9"/>
    <w:rsid w:val="00E02991"/>
    <w:rsid w:val="00E03900"/>
    <w:rsid w:val="00E03A2E"/>
    <w:rsid w:val="00E03A85"/>
    <w:rsid w:val="00E03FA9"/>
    <w:rsid w:val="00E048A5"/>
    <w:rsid w:val="00E04E40"/>
    <w:rsid w:val="00E05368"/>
    <w:rsid w:val="00E066BE"/>
    <w:rsid w:val="00E0670A"/>
    <w:rsid w:val="00E06FD0"/>
    <w:rsid w:val="00E070E7"/>
    <w:rsid w:val="00E071EB"/>
    <w:rsid w:val="00E07422"/>
    <w:rsid w:val="00E11982"/>
    <w:rsid w:val="00E12280"/>
    <w:rsid w:val="00E128F7"/>
    <w:rsid w:val="00E13268"/>
    <w:rsid w:val="00E14FB8"/>
    <w:rsid w:val="00E150A8"/>
    <w:rsid w:val="00E15859"/>
    <w:rsid w:val="00E1596C"/>
    <w:rsid w:val="00E15D2D"/>
    <w:rsid w:val="00E15DAE"/>
    <w:rsid w:val="00E15FFC"/>
    <w:rsid w:val="00E1611C"/>
    <w:rsid w:val="00E1642D"/>
    <w:rsid w:val="00E168A2"/>
    <w:rsid w:val="00E16F44"/>
    <w:rsid w:val="00E177BC"/>
    <w:rsid w:val="00E177E8"/>
    <w:rsid w:val="00E1796E"/>
    <w:rsid w:val="00E202A8"/>
    <w:rsid w:val="00E20354"/>
    <w:rsid w:val="00E208CC"/>
    <w:rsid w:val="00E20E15"/>
    <w:rsid w:val="00E2132E"/>
    <w:rsid w:val="00E22183"/>
    <w:rsid w:val="00E22296"/>
    <w:rsid w:val="00E22FD5"/>
    <w:rsid w:val="00E239E3"/>
    <w:rsid w:val="00E23C60"/>
    <w:rsid w:val="00E24266"/>
    <w:rsid w:val="00E24858"/>
    <w:rsid w:val="00E24EC5"/>
    <w:rsid w:val="00E254C8"/>
    <w:rsid w:val="00E25AA4"/>
    <w:rsid w:val="00E2679B"/>
    <w:rsid w:val="00E26943"/>
    <w:rsid w:val="00E272AB"/>
    <w:rsid w:val="00E274FF"/>
    <w:rsid w:val="00E27BDA"/>
    <w:rsid w:val="00E27EE1"/>
    <w:rsid w:val="00E30707"/>
    <w:rsid w:val="00E30DE8"/>
    <w:rsid w:val="00E313C1"/>
    <w:rsid w:val="00E319B7"/>
    <w:rsid w:val="00E31BFB"/>
    <w:rsid w:val="00E329B1"/>
    <w:rsid w:val="00E32ED3"/>
    <w:rsid w:val="00E334EF"/>
    <w:rsid w:val="00E338F6"/>
    <w:rsid w:val="00E33FE4"/>
    <w:rsid w:val="00E34B4B"/>
    <w:rsid w:val="00E3676D"/>
    <w:rsid w:val="00E368D3"/>
    <w:rsid w:val="00E36F79"/>
    <w:rsid w:val="00E37099"/>
    <w:rsid w:val="00E37C78"/>
    <w:rsid w:val="00E40499"/>
    <w:rsid w:val="00E40570"/>
    <w:rsid w:val="00E4073A"/>
    <w:rsid w:val="00E40EE8"/>
    <w:rsid w:val="00E41523"/>
    <w:rsid w:val="00E416C1"/>
    <w:rsid w:val="00E418DB"/>
    <w:rsid w:val="00E41CBC"/>
    <w:rsid w:val="00E42FF1"/>
    <w:rsid w:val="00E43849"/>
    <w:rsid w:val="00E43E01"/>
    <w:rsid w:val="00E440B6"/>
    <w:rsid w:val="00E445E2"/>
    <w:rsid w:val="00E44A1E"/>
    <w:rsid w:val="00E44E62"/>
    <w:rsid w:val="00E4516A"/>
    <w:rsid w:val="00E4534A"/>
    <w:rsid w:val="00E45B70"/>
    <w:rsid w:val="00E45CB2"/>
    <w:rsid w:val="00E45E42"/>
    <w:rsid w:val="00E4609A"/>
    <w:rsid w:val="00E460E5"/>
    <w:rsid w:val="00E460E9"/>
    <w:rsid w:val="00E469F7"/>
    <w:rsid w:val="00E46C90"/>
    <w:rsid w:val="00E474C8"/>
    <w:rsid w:val="00E515B4"/>
    <w:rsid w:val="00E51F5B"/>
    <w:rsid w:val="00E527F6"/>
    <w:rsid w:val="00E52A5C"/>
    <w:rsid w:val="00E53EFD"/>
    <w:rsid w:val="00E5455B"/>
    <w:rsid w:val="00E54B2B"/>
    <w:rsid w:val="00E55349"/>
    <w:rsid w:val="00E5591A"/>
    <w:rsid w:val="00E5616A"/>
    <w:rsid w:val="00E56E84"/>
    <w:rsid w:val="00E57AD6"/>
    <w:rsid w:val="00E57B95"/>
    <w:rsid w:val="00E57BC2"/>
    <w:rsid w:val="00E57FB5"/>
    <w:rsid w:val="00E60667"/>
    <w:rsid w:val="00E621E5"/>
    <w:rsid w:val="00E64353"/>
    <w:rsid w:val="00E64614"/>
    <w:rsid w:val="00E6486E"/>
    <w:rsid w:val="00E64985"/>
    <w:rsid w:val="00E66385"/>
    <w:rsid w:val="00E66A86"/>
    <w:rsid w:val="00E7007B"/>
    <w:rsid w:val="00E70843"/>
    <w:rsid w:val="00E70868"/>
    <w:rsid w:val="00E713C6"/>
    <w:rsid w:val="00E71546"/>
    <w:rsid w:val="00E71A53"/>
    <w:rsid w:val="00E724FD"/>
    <w:rsid w:val="00E738C1"/>
    <w:rsid w:val="00E74298"/>
    <w:rsid w:val="00E74519"/>
    <w:rsid w:val="00E74F4E"/>
    <w:rsid w:val="00E75396"/>
    <w:rsid w:val="00E7621B"/>
    <w:rsid w:val="00E7716F"/>
    <w:rsid w:val="00E773F1"/>
    <w:rsid w:val="00E803A8"/>
    <w:rsid w:val="00E80CC3"/>
    <w:rsid w:val="00E811C3"/>
    <w:rsid w:val="00E8130E"/>
    <w:rsid w:val="00E8165E"/>
    <w:rsid w:val="00E8179E"/>
    <w:rsid w:val="00E81912"/>
    <w:rsid w:val="00E845D9"/>
    <w:rsid w:val="00E850B9"/>
    <w:rsid w:val="00E86FE0"/>
    <w:rsid w:val="00E879A9"/>
    <w:rsid w:val="00E87E88"/>
    <w:rsid w:val="00E90142"/>
    <w:rsid w:val="00E907C9"/>
    <w:rsid w:val="00E90CAF"/>
    <w:rsid w:val="00E91DF8"/>
    <w:rsid w:val="00E9248C"/>
    <w:rsid w:val="00E9398C"/>
    <w:rsid w:val="00E93FDF"/>
    <w:rsid w:val="00E943FF"/>
    <w:rsid w:val="00E94DF0"/>
    <w:rsid w:val="00E958EB"/>
    <w:rsid w:val="00E9692C"/>
    <w:rsid w:val="00E97094"/>
    <w:rsid w:val="00E9739E"/>
    <w:rsid w:val="00EA0209"/>
    <w:rsid w:val="00EA084B"/>
    <w:rsid w:val="00EA0ACB"/>
    <w:rsid w:val="00EA0B28"/>
    <w:rsid w:val="00EA131A"/>
    <w:rsid w:val="00EA177E"/>
    <w:rsid w:val="00EA1DB2"/>
    <w:rsid w:val="00EA1E99"/>
    <w:rsid w:val="00EA23D3"/>
    <w:rsid w:val="00EA248F"/>
    <w:rsid w:val="00EA2A14"/>
    <w:rsid w:val="00EA2D9A"/>
    <w:rsid w:val="00EA2E63"/>
    <w:rsid w:val="00EA3EC7"/>
    <w:rsid w:val="00EA4141"/>
    <w:rsid w:val="00EA42A4"/>
    <w:rsid w:val="00EA43D2"/>
    <w:rsid w:val="00EA4ECD"/>
    <w:rsid w:val="00EA5BB0"/>
    <w:rsid w:val="00EA5CF4"/>
    <w:rsid w:val="00EA644E"/>
    <w:rsid w:val="00EA70B0"/>
    <w:rsid w:val="00EA733B"/>
    <w:rsid w:val="00EA7417"/>
    <w:rsid w:val="00EA78B8"/>
    <w:rsid w:val="00EB0AF2"/>
    <w:rsid w:val="00EB2F08"/>
    <w:rsid w:val="00EB3746"/>
    <w:rsid w:val="00EB3CF4"/>
    <w:rsid w:val="00EB422D"/>
    <w:rsid w:val="00EB4B45"/>
    <w:rsid w:val="00EB532D"/>
    <w:rsid w:val="00EB5667"/>
    <w:rsid w:val="00EB5AF2"/>
    <w:rsid w:val="00EB6078"/>
    <w:rsid w:val="00EB6221"/>
    <w:rsid w:val="00EB6983"/>
    <w:rsid w:val="00EB758B"/>
    <w:rsid w:val="00EB787C"/>
    <w:rsid w:val="00EC0312"/>
    <w:rsid w:val="00EC0E37"/>
    <w:rsid w:val="00EC13FB"/>
    <w:rsid w:val="00EC231F"/>
    <w:rsid w:val="00EC2811"/>
    <w:rsid w:val="00EC2C5A"/>
    <w:rsid w:val="00EC2DCD"/>
    <w:rsid w:val="00EC3171"/>
    <w:rsid w:val="00EC3CD7"/>
    <w:rsid w:val="00EC3ECA"/>
    <w:rsid w:val="00EC5210"/>
    <w:rsid w:val="00EC5662"/>
    <w:rsid w:val="00EC629D"/>
    <w:rsid w:val="00EC7162"/>
    <w:rsid w:val="00EC7AA8"/>
    <w:rsid w:val="00ED010E"/>
    <w:rsid w:val="00ED075E"/>
    <w:rsid w:val="00ED1736"/>
    <w:rsid w:val="00ED1FEF"/>
    <w:rsid w:val="00ED2673"/>
    <w:rsid w:val="00ED2A28"/>
    <w:rsid w:val="00ED31C9"/>
    <w:rsid w:val="00ED32E1"/>
    <w:rsid w:val="00ED333F"/>
    <w:rsid w:val="00ED375C"/>
    <w:rsid w:val="00ED3A09"/>
    <w:rsid w:val="00ED4418"/>
    <w:rsid w:val="00ED5B52"/>
    <w:rsid w:val="00ED6369"/>
    <w:rsid w:val="00ED694E"/>
    <w:rsid w:val="00ED79BF"/>
    <w:rsid w:val="00ED7A01"/>
    <w:rsid w:val="00EE0743"/>
    <w:rsid w:val="00EE075F"/>
    <w:rsid w:val="00EE137B"/>
    <w:rsid w:val="00EE223B"/>
    <w:rsid w:val="00EE2603"/>
    <w:rsid w:val="00EE38BE"/>
    <w:rsid w:val="00EE3FF1"/>
    <w:rsid w:val="00EE46CE"/>
    <w:rsid w:val="00EE517D"/>
    <w:rsid w:val="00EE5347"/>
    <w:rsid w:val="00EE58B9"/>
    <w:rsid w:val="00EE6CDE"/>
    <w:rsid w:val="00EF06D3"/>
    <w:rsid w:val="00EF0A9F"/>
    <w:rsid w:val="00EF0D1A"/>
    <w:rsid w:val="00EF1678"/>
    <w:rsid w:val="00EF1F9A"/>
    <w:rsid w:val="00EF348B"/>
    <w:rsid w:val="00EF5EEE"/>
    <w:rsid w:val="00EF6629"/>
    <w:rsid w:val="00EF7AD5"/>
    <w:rsid w:val="00F00234"/>
    <w:rsid w:val="00F00FEC"/>
    <w:rsid w:val="00F01261"/>
    <w:rsid w:val="00F012D2"/>
    <w:rsid w:val="00F01BD2"/>
    <w:rsid w:val="00F01C8E"/>
    <w:rsid w:val="00F02102"/>
    <w:rsid w:val="00F0333E"/>
    <w:rsid w:val="00F03BE8"/>
    <w:rsid w:val="00F04DCD"/>
    <w:rsid w:val="00F04E65"/>
    <w:rsid w:val="00F062E7"/>
    <w:rsid w:val="00F06630"/>
    <w:rsid w:val="00F067C1"/>
    <w:rsid w:val="00F06B79"/>
    <w:rsid w:val="00F072C3"/>
    <w:rsid w:val="00F0782C"/>
    <w:rsid w:val="00F102E1"/>
    <w:rsid w:val="00F1140F"/>
    <w:rsid w:val="00F11646"/>
    <w:rsid w:val="00F11BE6"/>
    <w:rsid w:val="00F11D9E"/>
    <w:rsid w:val="00F12088"/>
    <w:rsid w:val="00F12DF8"/>
    <w:rsid w:val="00F13263"/>
    <w:rsid w:val="00F1353C"/>
    <w:rsid w:val="00F13EED"/>
    <w:rsid w:val="00F1435A"/>
    <w:rsid w:val="00F14EA8"/>
    <w:rsid w:val="00F15FA7"/>
    <w:rsid w:val="00F160FA"/>
    <w:rsid w:val="00F1632C"/>
    <w:rsid w:val="00F16CAD"/>
    <w:rsid w:val="00F17C68"/>
    <w:rsid w:val="00F20344"/>
    <w:rsid w:val="00F2223B"/>
    <w:rsid w:val="00F2280C"/>
    <w:rsid w:val="00F23C94"/>
    <w:rsid w:val="00F23DC1"/>
    <w:rsid w:val="00F258C4"/>
    <w:rsid w:val="00F264E5"/>
    <w:rsid w:val="00F26BF5"/>
    <w:rsid w:val="00F27478"/>
    <w:rsid w:val="00F3035E"/>
    <w:rsid w:val="00F3039B"/>
    <w:rsid w:val="00F30802"/>
    <w:rsid w:val="00F30F2B"/>
    <w:rsid w:val="00F3151A"/>
    <w:rsid w:val="00F33053"/>
    <w:rsid w:val="00F331D2"/>
    <w:rsid w:val="00F33428"/>
    <w:rsid w:val="00F3392A"/>
    <w:rsid w:val="00F33C33"/>
    <w:rsid w:val="00F33E97"/>
    <w:rsid w:val="00F340F3"/>
    <w:rsid w:val="00F34A0F"/>
    <w:rsid w:val="00F34A5A"/>
    <w:rsid w:val="00F34D88"/>
    <w:rsid w:val="00F3500B"/>
    <w:rsid w:val="00F3551C"/>
    <w:rsid w:val="00F374E8"/>
    <w:rsid w:val="00F374F1"/>
    <w:rsid w:val="00F3761E"/>
    <w:rsid w:val="00F404BE"/>
    <w:rsid w:val="00F406AB"/>
    <w:rsid w:val="00F41432"/>
    <w:rsid w:val="00F41615"/>
    <w:rsid w:val="00F426F9"/>
    <w:rsid w:val="00F42AC5"/>
    <w:rsid w:val="00F43491"/>
    <w:rsid w:val="00F44F33"/>
    <w:rsid w:val="00F45168"/>
    <w:rsid w:val="00F45652"/>
    <w:rsid w:val="00F46612"/>
    <w:rsid w:val="00F467CE"/>
    <w:rsid w:val="00F46E78"/>
    <w:rsid w:val="00F47BD4"/>
    <w:rsid w:val="00F47EF5"/>
    <w:rsid w:val="00F504CF"/>
    <w:rsid w:val="00F50D02"/>
    <w:rsid w:val="00F51A6B"/>
    <w:rsid w:val="00F51D4C"/>
    <w:rsid w:val="00F52201"/>
    <w:rsid w:val="00F52A31"/>
    <w:rsid w:val="00F52CF4"/>
    <w:rsid w:val="00F5313F"/>
    <w:rsid w:val="00F531A8"/>
    <w:rsid w:val="00F539BF"/>
    <w:rsid w:val="00F53FCC"/>
    <w:rsid w:val="00F54120"/>
    <w:rsid w:val="00F5417E"/>
    <w:rsid w:val="00F546E1"/>
    <w:rsid w:val="00F55285"/>
    <w:rsid w:val="00F564BC"/>
    <w:rsid w:val="00F56E06"/>
    <w:rsid w:val="00F57213"/>
    <w:rsid w:val="00F572B4"/>
    <w:rsid w:val="00F5763A"/>
    <w:rsid w:val="00F57A46"/>
    <w:rsid w:val="00F57E30"/>
    <w:rsid w:val="00F57FBF"/>
    <w:rsid w:val="00F604B5"/>
    <w:rsid w:val="00F60BEF"/>
    <w:rsid w:val="00F60E48"/>
    <w:rsid w:val="00F623A8"/>
    <w:rsid w:val="00F63386"/>
    <w:rsid w:val="00F63B84"/>
    <w:rsid w:val="00F64233"/>
    <w:rsid w:val="00F64A1F"/>
    <w:rsid w:val="00F65548"/>
    <w:rsid w:val="00F65610"/>
    <w:rsid w:val="00F65860"/>
    <w:rsid w:val="00F658CB"/>
    <w:rsid w:val="00F65BA2"/>
    <w:rsid w:val="00F669F2"/>
    <w:rsid w:val="00F66BDE"/>
    <w:rsid w:val="00F66D6E"/>
    <w:rsid w:val="00F673D6"/>
    <w:rsid w:val="00F679DF"/>
    <w:rsid w:val="00F67F2C"/>
    <w:rsid w:val="00F7026F"/>
    <w:rsid w:val="00F70D82"/>
    <w:rsid w:val="00F71679"/>
    <w:rsid w:val="00F7389E"/>
    <w:rsid w:val="00F739B1"/>
    <w:rsid w:val="00F73A5E"/>
    <w:rsid w:val="00F75247"/>
    <w:rsid w:val="00F7551B"/>
    <w:rsid w:val="00F75685"/>
    <w:rsid w:val="00F75961"/>
    <w:rsid w:val="00F75996"/>
    <w:rsid w:val="00F76D34"/>
    <w:rsid w:val="00F76D4C"/>
    <w:rsid w:val="00F77D49"/>
    <w:rsid w:val="00F8133A"/>
    <w:rsid w:val="00F81C6C"/>
    <w:rsid w:val="00F82239"/>
    <w:rsid w:val="00F822A2"/>
    <w:rsid w:val="00F824BE"/>
    <w:rsid w:val="00F82663"/>
    <w:rsid w:val="00F829E8"/>
    <w:rsid w:val="00F82E3B"/>
    <w:rsid w:val="00F82EFF"/>
    <w:rsid w:val="00F83228"/>
    <w:rsid w:val="00F83BFD"/>
    <w:rsid w:val="00F85023"/>
    <w:rsid w:val="00F85842"/>
    <w:rsid w:val="00F85C23"/>
    <w:rsid w:val="00F86B05"/>
    <w:rsid w:val="00F90883"/>
    <w:rsid w:val="00F90A6B"/>
    <w:rsid w:val="00F92FF8"/>
    <w:rsid w:val="00F93219"/>
    <w:rsid w:val="00F93546"/>
    <w:rsid w:val="00F93AC2"/>
    <w:rsid w:val="00F95BA1"/>
    <w:rsid w:val="00F9660E"/>
    <w:rsid w:val="00F9664A"/>
    <w:rsid w:val="00F96D3E"/>
    <w:rsid w:val="00F975A2"/>
    <w:rsid w:val="00F977CE"/>
    <w:rsid w:val="00F97CD2"/>
    <w:rsid w:val="00FA0F82"/>
    <w:rsid w:val="00FA1092"/>
    <w:rsid w:val="00FA11A9"/>
    <w:rsid w:val="00FA1474"/>
    <w:rsid w:val="00FA243F"/>
    <w:rsid w:val="00FA25E5"/>
    <w:rsid w:val="00FA2959"/>
    <w:rsid w:val="00FA303F"/>
    <w:rsid w:val="00FA37B3"/>
    <w:rsid w:val="00FA3E49"/>
    <w:rsid w:val="00FA41C0"/>
    <w:rsid w:val="00FA4230"/>
    <w:rsid w:val="00FA433F"/>
    <w:rsid w:val="00FA4E30"/>
    <w:rsid w:val="00FA53D9"/>
    <w:rsid w:val="00FA584E"/>
    <w:rsid w:val="00FA5BF4"/>
    <w:rsid w:val="00FA5EE4"/>
    <w:rsid w:val="00FA69D3"/>
    <w:rsid w:val="00FA72CD"/>
    <w:rsid w:val="00FA7B17"/>
    <w:rsid w:val="00FA7E48"/>
    <w:rsid w:val="00FA7EB9"/>
    <w:rsid w:val="00FB09A9"/>
    <w:rsid w:val="00FB0A6A"/>
    <w:rsid w:val="00FB1C68"/>
    <w:rsid w:val="00FB1D89"/>
    <w:rsid w:val="00FB2F62"/>
    <w:rsid w:val="00FB3240"/>
    <w:rsid w:val="00FB35EB"/>
    <w:rsid w:val="00FB5BB6"/>
    <w:rsid w:val="00FB5C48"/>
    <w:rsid w:val="00FB5DA7"/>
    <w:rsid w:val="00FB5F12"/>
    <w:rsid w:val="00FB60F0"/>
    <w:rsid w:val="00FB783F"/>
    <w:rsid w:val="00FC03DE"/>
    <w:rsid w:val="00FC0F20"/>
    <w:rsid w:val="00FC1E22"/>
    <w:rsid w:val="00FC21AC"/>
    <w:rsid w:val="00FC220F"/>
    <w:rsid w:val="00FC237A"/>
    <w:rsid w:val="00FC3001"/>
    <w:rsid w:val="00FC31FD"/>
    <w:rsid w:val="00FC395D"/>
    <w:rsid w:val="00FC4179"/>
    <w:rsid w:val="00FC4671"/>
    <w:rsid w:val="00FC49C8"/>
    <w:rsid w:val="00FC669A"/>
    <w:rsid w:val="00FC794C"/>
    <w:rsid w:val="00FD03A9"/>
    <w:rsid w:val="00FD04CC"/>
    <w:rsid w:val="00FD080F"/>
    <w:rsid w:val="00FD12BA"/>
    <w:rsid w:val="00FD220C"/>
    <w:rsid w:val="00FD25D8"/>
    <w:rsid w:val="00FD2E0D"/>
    <w:rsid w:val="00FD2F48"/>
    <w:rsid w:val="00FD33BB"/>
    <w:rsid w:val="00FD33F3"/>
    <w:rsid w:val="00FD36D8"/>
    <w:rsid w:val="00FD3B2D"/>
    <w:rsid w:val="00FD4F64"/>
    <w:rsid w:val="00FD5B1D"/>
    <w:rsid w:val="00FD7169"/>
    <w:rsid w:val="00FD743D"/>
    <w:rsid w:val="00FD7A4D"/>
    <w:rsid w:val="00FE0186"/>
    <w:rsid w:val="00FE0D07"/>
    <w:rsid w:val="00FE0FF6"/>
    <w:rsid w:val="00FE114F"/>
    <w:rsid w:val="00FE1429"/>
    <w:rsid w:val="00FE34A0"/>
    <w:rsid w:val="00FE43B7"/>
    <w:rsid w:val="00FE43F5"/>
    <w:rsid w:val="00FE50AF"/>
    <w:rsid w:val="00FE55CF"/>
    <w:rsid w:val="00FE5784"/>
    <w:rsid w:val="00FE6362"/>
    <w:rsid w:val="00FE676B"/>
    <w:rsid w:val="00FE68AE"/>
    <w:rsid w:val="00FF06BB"/>
    <w:rsid w:val="00FF0B8A"/>
    <w:rsid w:val="00FF1621"/>
    <w:rsid w:val="00FF1848"/>
    <w:rsid w:val="00FF1F04"/>
    <w:rsid w:val="00FF2298"/>
    <w:rsid w:val="00FF2325"/>
    <w:rsid w:val="00FF2375"/>
    <w:rsid w:val="00FF28A4"/>
    <w:rsid w:val="00FF29FF"/>
    <w:rsid w:val="00FF2C9B"/>
    <w:rsid w:val="00FF3522"/>
    <w:rsid w:val="00FF3D3D"/>
    <w:rsid w:val="00FF3F47"/>
    <w:rsid w:val="00FF48B0"/>
    <w:rsid w:val="00FF4A8D"/>
    <w:rsid w:val="00FF4FAA"/>
    <w:rsid w:val="00FF50BB"/>
    <w:rsid w:val="00FF51EC"/>
    <w:rsid w:val="00FF5AA5"/>
    <w:rsid w:val="00FF7113"/>
    <w:rsid w:val="00FF74BD"/>
    <w:rsid w:val="00FF7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8005FD4"/>
  <w15:docId w15:val="{854F3132-4B9A-43A2-94B8-3DF4856F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844"/>
    <w:rPr>
      <w:rFonts w:asciiTheme="minorHAnsi" w:hAnsiTheme="minorHAnsi"/>
      <w:sz w:val="22"/>
      <w:szCs w:val="22"/>
    </w:rPr>
  </w:style>
  <w:style w:type="paragraph" w:styleId="Heading1">
    <w:name w:val="heading 1"/>
    <w:basedOn w:val="Normal"/>
    <w:next w:val="Normal"/>
    <w:link w:val="Heading1Char"/>
    <w:uiPriority w:val="9"/>
    <w:qFormat/>
    <w:rsid w:val="006D6152"/>
    <w:pPr>
      <w:keepNext/>
      <w:numPr>
        <w:numId w:val="29"/>
      </w:numPr>
      <w:spacing w:before="240" w:after="120"/>
      <w:ind w:left="0" w:hanging="270"/>
      <w:outlineLvl w:val="0"/>
    </w:pPr>
    <w:rPr>
      <w:rFonts w:ascii="Arial" w:hAnsi="Arial" w:cs="Arial"/>
      <w:b/>
      <w:bCs/>
      <w:color w:val="005C2A"/>
      <w:kern w:val="32"/>
      <w:sz w:val="28"/>
      <w:szCs w:val="28"/>
    </w:rPr>
  </w:style>
  <w:style w:type="paragraph" w:styleId="Heading2">
    <w:name w:val="heading 2"/>
    <w:basedOn w:val="bodyTopic"/>
    <w:next w:val="Normal"/>
    <w:link w:val="Heading2Char"/>
    <w:qFormat/>
    <w:rsid w:val="00F53FCC"/>
    <w:pPr>
      <w:jc w:val="left"/>
      <w:outlineLvl w:val="1"/>
    </w:pPr>
    <w:rPr>
      <w:rFonts w:ascii="Arial" w:hAnsi="Arial" w:cs="Arial"/>
      <w:color w:val="006600"/>
      <w:sz w:val="28"/>
      <w:szCs w:val="28"/>
    </w:rPr>
  </w:style>
  <w:style w:type="paragraph" w:styleId="Heading3">
    <w:name w:val="heading 3"/>
    <w:basedOn w:val="Heading2"/>
    <w:next w:val="Normal"/>
    <w:link w:val="Heading3Char"/>
    <w:qFormat/>
    <w:rsid w:val="00E30DE8"/>
    <w:pPr>
      <w:spacing w:before="240"/>
      <w:outlineLvl w:val="2"/>
    </w:pPr>
    <w:rPr>
      <w:bCs/>
      <w:color w:val="000000" w:themeColor="text1"/>
      <w:sz w:val="26"/>
      <w:szCs w:val="26"/>
    </w:rPr>
  </w:style>
  <w:style w:type="paragraph" w:styleId="Heading4">
    <w:name w:val="heading 4"/>
    <w:basedOn w:val="Normal"/>
    <w:next w:val="Normal"/>
    <w:link w:val="Heading4Char"/>
    <w:unhideWhenUsed/>
    <w:qFormat/>
    <w:rsid w:val="005C32EB"/>
    <w:pPr>
      <w:keepNext/>
      <w:keepLines/>
      <w:spacing w:before="180" w:after="120"/>
      <w:outlineLvl w:val="3"/>
    </w:pPr>
    <w:rPr>
      <w:rFonts w:ascii="Arial" w:eastAsiaTheme="majorEastAsia" w:hAnsi="Arial" w:cs="Arial"/>
      <w:b/>
      <w:bCs/>
      <w:color w:val="000000" w:themeColor="text1"/>
      <w:szCs w:val="20"/>
      <w:u w:val="single"/>
    </w:rPr>
  </w:style>
  <w:style w:type="paragraph" w:styleId="Heading5">
    <w:name w:val="heading 5"/>
    <w:basedOn w:val="Normal"/>
    <w:next w:val="Normal"/>
    <w:link w:val="Heading5Char"/>
    <w:unhideWhenUsed/>
    <w:qFormat/>
    <w:rsid w:val="005C32EB"/>
    <w:pPr>
      <w:keepNext/>
      <w:keepLines/>
      <w:spacing w:before="120" w:after="40"/>
      <w:outlineLvl w:val="4"/>
    </w:pPr>
    <w:rPr>
      <w:rFonts w:ascii="Arial" w:eastAsiaTheme="majorEastAsia" w:hAnsi="Arial" w:cs="Arial"/>
      <w:b/>
      <w:bCs/>
      <w:i/>
      <w:iCs/>
      <w:color w:val="008000"/>
      <w:szCs w:val="20"/>
    </w:rPr>
  </w:style>
  <w:style w:type="paragraph" w:styleId="Heading6">
    <w:name w:val="heading 6"/>
    <w:basedOn w:val="Normal"/>
    <w:next w:val="Normal"/>
    <w:link w:val="Heading6Char"/>
    <w:unhideWhenUsed/>
    <w:qFormat/>
    <w:rsid w:val="005C32EB"/>
    <w:pPr>
      <w:keepNext/>
      <w:keepLines/>
      <w:spacing w:before="120"/>
      <w:outlineLvl w:val="5"/>
    </w:pPr>
    <w:rPr>
      <w:rFonts w:eastAsiaTheme="majorEastAsia" w:cstheme="majorBidi"/>
      <w:b/>
      <w:bCs/>
      <w:color w:val="243F60" w:themeColor="accent1" w:themeShade="7F"/>
    </w:rPr>
  </w:style>
  <w:style w:type="paragraph" w:styleId="Heading9">
    <w:name w:val="heading 9"/>
    <w:basedOn w:val="Normal"/>
    <w:next w:val="Normal"/>
    <w:link w:val="Heading9Char"/>
    <w:semiHidden/>
    <w:unhideWhenUsed/>
    <w:qFormat/>
    <w:rsid w:val="00A162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5763A"/>
    <w:pPr>
      <w:tabs>
        <w:tab w:val="center" w:pos="4320"/>
        <w:tab w:val="right" w:pos="8640"/>
      </w:tabs>
    </w:pPr>
  </w:style>
  <w:style w:type="paragraph" w:styleId="Footer">
    <w:name w:val="footer"/>
    <w:basedOn w:val="Normal"/>
    <w:link w:val="FooterChar"/>
    <w:rsid w:val="00F5763A"/>
    <w:pPr>
      <w:tabs>
        <w:tab w:val="center" w:pos="4320"/>
        <w:tab w:val="right" w:pos="8640"/>
      </w:tabs>
    </w:pPr>
  </w:style>
  <w:style w:type="paragraph" w:styleId="Title">
    <w:name w:val="Title"/>
    <w:basedOn w:val="Normal"/>
    <w:next w:val="Normal"/>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Heading2Char">
    <w:name w:val="Heading 2 Char"/>
    <w:basedOn w:val="DefaultParagraphFont"/>
    <w:link w:val="Heading2"/>
    <w:rsid w:val="00F53FCC"/>
    <w:rPr>
      <w:rFonts w:ascii="Arial" w:hAnsi="Arial" w:cs="Arial"/>
      <w:b/>
      <w:color w:val="006600"/>
      <w:sz w:val="28"/>
      <w:szCs w:val="28"/>
    </w:rPr>
  </w:style>
  <w:style w:type="character" w:styleId="Hyperlink">
    <w:name w:val="Hyperlink"/>
    <w:basedOn w:val="DefaultParagraphFont"/>
    <w:uiPriority w:val="99"/>
    <w:rsid w:val="00B575F5"/>
    <w:rPr>
      <w:color w:val="0000FF"/>
      <w:u w:val="single"/>
    </w:rPr>
  </w:style>
  <w:style w:type="paragraph" w:styleId="TOC1">
    <w:name w:val="toc 1"/>
    <w:basedOn w:val="Normal"/>
    <w:next w:val="Body"/>
    <w:autoRedefine/>
    <w:uiPriority w:val="39"/>
    <w:rsid w:val="001E4871"/>
    <w:pPr>
      <w:tabs>
        <w:tab w:val="left" w:pos="720"/>
        <w:tab w:val="decimal" w:pos="6480"/>
      </w:tabs>
      <w:spacing w:before="120" w:line="260" w:lineRule="exact"/>
      <w:ind w:right="1530"/>
    </w:pPr>
    <w:rPr>
      <w:rFonts w:ascii="Calibri" w:hAnsi="Calibri"/>
      <w:bCs/>
    </w:rPr>
  </w:style>
  <w:style w:type="paragraph" w:styleId="BalloonText">
    <w:name w:val="Balloon Text"/>
    <w:basedOn w:val="Normal"/>
    <w:link w:val="BalloonTextChar"/>
    <w:rsid w:val="00763A8E"/>
    <w:rPr>
      <w:rFonts w:ascii="Tahoma" w:hAnsi="Tahoma" w:cs="Tahoma"/>
      <w:sz w:val="16"/>
      <w:szCs w:val="16"/>
    </w:rPr>
  </w:style>
  <w:style w:type="character" w:customStyle="1" w:styleId="BalloonTextChar">
    <w:name w:val="Balloon Text Char"/>
    <w:basedOn w:val="DefaultParagraphFont"/>
    <w:link w:val="BalloonText"/>
    <w:rsid w:val="00763A8E"/>
    <w:rPr>
      <w:rFonts w:ascii="Tahoma" w:hAnsi="Tahoma" w:cs="Tahoma"/>
      <w:sz w:val="16"/>
      <w:szCs w:val="16"/>
    </w:rPr>
  </w:style>
  <w:style w:type="paragraph" w:customStyle="1" w:styleId="Body">
    <w:name w:val="Body"/>
    <w:basedOn w:val="Normal"/>
    <w:link w:val="BodyChar"/>
    <w:qFormat/>
    <w:rsid w:val="002A17DB"/>
    <w:pPr>
      <w:spacing w:after="120" w:line="280" w:lineRule="atLeast"/>
      <w:jc w:val="both"/>
    </w:pPr>
    <w:rPr>
      <w:rFonts w:ascii="Calibri" w:hAnsi="Calibri" w:cstheme="minorHAnsi"/>
    </w:rPr>
  </w:style>
  <w:style w:type="paragraph" w:customStyle="1" w:styleId="Bullets">
    <w:name w:val="Bullets"/>
    <w:basedOn w:val="Body"/>
    <w:link w:val="BulletsChar"/>
    <w:qFormat/>
    <w:rsid w:val="00190168"/>
    <w:pPr>
      <w:keepLines/>
      <w:numPr>
        <w:numId w:val="1"/>
      </w:numPr>
      <w:spacing w:after="60" w:line="240" w:lineRule="auto"/>
      <w:ind w:left="461" w:hanging="202"/>
    </w:pPr>
  </w:style>
  <w:style w:type="character" w:customStyle="1" w:styleId="BodyChar">
    <w:name w:val="Body Char"/>
    <w:basedOn w:val="DefaultParagraphFont"/>
    <w:link w:val="Body"/>
    <w:rsid w:val="002A17DB"/>
    <w:rPr>
      <w:rFonts w:ascii="Calibri" w:hAnsi="Calibri" w:cstheme="minorHAnsi"/>
      <w:sz w:val="22"/>
      <w:szCs w:val="22"/>
    </w:rPr>
  </w:style>
  <w:style w:type="character" w:customStyle="1" w:styleId="BulletsChar">
    <w:name w:val="Bullets Char"/>
    <w:basedOn w:val="BodyChar"/>
    <w:link w:val="Bullets"/>
    <w:rsid w:val="00190168"/>
    <w:rPr>
      <w:rFonts w:ascii="Calibri" w:hAnsi="Calibri" w:cstheme="minorHAnsi"/>
      <w:sz w:val="22"/>
      <w:szCs w:val="22"/>
    </w:rPr>
  </w:style>
  <w:style w:type="paragraph" w:customStyle="1" w:styleId="BulletTopic">
    <w:name w:val="Bullet Topic"/>
    <w:basedOn w:val="Bullets"/>
    <w:link w:val="BulletTopicChar"/>
    <w:qFormat/>
    <w:rsid w:val="00190168"/>
    <w:pPr>
      <w:numPr>
        <w:numId w:val="0"/>
      </w:numPr>
      <w:spacing w:after="120" w:line="200" w:lineRule="atLeast"/>
      <w:ind w:left="259"/>
    </w:pPr>
    <w:rPr>
      <w:rFonts w:ascii="Arial" w:hAnsi="Arial" w:cs="Arial"/>
      <w:b/>
      <w:sz w:val="16"/>
      <w:szCs w:val="16"/>
    </w:rPr>
  </w:style>
  <w:style w:type="paragraph" w:styleId="ListParagraph">
    <w:name w:val="List Paragraph"/>
    <w:basedOn w:val="Normal"/>
    <w:link w:val="ListParagraphChar"/>
    <w:uiPriority w:val="34"/>
    <w:qFormat/>
    <w:rsid w:val="005D64B4"/>
    <w:pPr>
      <w:spacing w:line="280" w:lineRule="atLeast"/>
      <w:ind w:left="720"/>
      <w:contextualSpacing/>
    </w:pPr>
    <w:rPr>
      <w:rFonts w:ascii="Calibri" w:eastAsia="Calibri" w:hAnsi="Calibri" w:cs="Calibri"/>
    </w:rPr>
  </w:style>
  <w:style w:type="character" w:customStyle="1" w:styleId="BulletTopicChar">
    <w:name w:val="Bullet Topic Char"/>
    <w:basedOn w:val="BulletsChar"/>
    <w:link w:val="BulletTopic"/>
    <w:rsid w:val="00190168"/>
    <w:rPr>
      <w:rFonts w:ascii="Arial" w:hAnsi="Arial" w:cs="Arial"/>
      <w:b/>
      <w:sz w:val="16"/>
      <w:szCs w:val="16"/>
    </w:rPr>
  </w:style>
  <w:style w:type="character" w:customStyle="1" w:styleId="Heading3Char">
    <w:name w:val="Heading 3 Char"/>
    <w:basedOn w:val="DefaultParagraphFont"/>
    <w:link w:val="Heading3"/>
    <w:rsid w:val="00E30DE8"/>
    <w:rPr>
      <w:rFonts w:ascii="Arial" w:hAnsi="Arial" w:cs="Arial"/>
      <w:b/>
      <w:bCs/>
      <w:color w:val="000000" w:themeColor="text1"/>
      <w:sz w:val="26"/>
      <w:szCs w:val="26"/>
    </w:rPr>
  </w:style>
  <w:style w:type="paragraph" w:styleId="FootnoteText">
    <w:name w:val="footnote text"/>
    <w:basedOn w:val="Normal"/>
    <w:link w:val="FootnoteTextChar"/>
    <w:unhideWhenUsed/>
    <w:rsid w:val="00012E77"/>
    <w:pPr>
      <w:spacing w:line="280" w:lineRule="atLeast"/>
    </w:pPr>
    <w:rPr>
      <w:rFonts w:ascii="Calibri" w:eastAsia="Calibri" w:hAnsi="Calibri" w:cs="Calibri"/>
      <w:sz w:val="20"/>
      <w:szCs w:val="20"/>
    </w:rPr>
  </w:style>
  <w:style w:type="character" w:customStyle="1" w:styleId="FootnoteTextChar">
    <w:name w:val="Footnote Text Char"/>
    <w:basedOn w:val="DefaultParagraphFont"/>
    <w:link w:val="FootnoteText"/>
    <w:rsid w:val="00012E77"/>
    <w:rPr>
      <w:rFonts w:ascii="Calibri" w:eastAsia="Calibri" w:hAnsi="Calibri" w:cs="Calibri"/>
    </w:rPr>
  </w:style>
  <w:style w:type="character" w:styleId="FootnoteReference">
    <w:name w:val="footnote reference"/>
    <w:basedOn w:val="DefaultParagraphFont"/>
    <w:unhideWhenUsed/>
    <w:rsid w:val="00012E77"/>
    <w:rPr>
      <w:vertAlign w:val="superscript"/>
    </w:rPr>
  </w:style>
  <w:style w:type="paragraph" w:styleId="EndnoteText">
    <w:name w:val="endnote text"/>
    <w:basedOn w:val="Normal"/>
    <w:link w:val="EndnoteTextChar"/>
    <w:uiPriority w:val="99"/>
    <w:qFormat/>
    <w:rsid w:val="00534244"/>
    <w:rPr>
      <w:sz w:val="20"/>
      <w:szCs w:val="20"/>
    </w:rPr>
  </w:style>
  <w:style w:type="character" w:customStyle="1" w:styleId="EndnoteTextChar">
    <w:name w:val="Endnote Text Char"/>
    <w:basedOn w:val="DefaultParagraphFont"/>
    <w:link w:val="EndnoteText"/>
    <w:uiPriority w:val="99"/>
    <w:rsid w:val="00534244"/>
  </w:style>
  <w:style w:type="character" w:styleId="EndnoteReference">
    <w:name w:val="endnote reference"/>
    <w:basedOn w:val="DefaultParagraphFont"/>
    <w:uiPriority w:val="99"/>
    <w:rsid w:val="00534244"/>
    <w:rPr>
      <w:vertAlign w:val="superscript"/>
    </w:rPr>
  </w:style>
  <w:style w:type="paragraph" w:customStyle="1" w:styleId="Bullet2">
    <w:name w:val="Bullet2"/>
    <w:basedOn w:val="Bullets"/>
    <w:link w:val="Bullet2Char"/>
    <w:qFormat/>
    <w:rsid w:val="004D711D"/>
    <w:pPr>
      <w:numPr>
        <w:ilvl w:val="1"/>
        <w:numId w:val="2"/>
      </w:numPr>
      <w:tabs>
        <w:tab w:val="left" w:pos="630"/>
      </w:tabs>
      <w:spacing w:after="20"/>
    </w:pPr>
  </w:style>
  <w:style w:type="character" w:customStyle="1" w:styleId="Bullet2Char">
    <w:name w:val="Bullet2 Char"/>
    <w:basedOn w:val="BulletsChar"/>
    <w:link w:val="Bullet2"/>
    <w:rsid w:val="004D711D"/>
    <w:rPr>
      <w:rFonts w:ascii="Calibri" w:hAnsi="Calibri" w:cstheme="minorHAnsi"/>
      <w:sz w:val="22"/>
      <w:szCs w:val="22"/>
    </w:rPr>
  </w:style>
  <w:style w:type="paragraph" w:styleId="NoSpacing">
    <w:name w:val="No Spacing"/>
    <w:link w:val="NoSpacingChar"/>
    <w:uiPriority w:val="1"/>
    <w:qFormat/>
    <w:rsid w:val="00202EDF"/>
    <w:rPr>
      <w:rFonts w:ascii="Calibri" w:hAnsi="Calibri"/>
      <w:sz w:val="22"/>
      <w:szCs w:val="22"/>
    </w:rPr>
  </w:style>
  <w:style w:type="character" w:customStyle="1" w:styleId="NoSpacingChar">
    <w:name w:val="No Spacing Char"/>
    <w:basedOn w:val="DefaultParagraphFont"/>
    <w:link w:val="NoSpacing"/>
    <w:uiPriority w:val="1"/>
    <w:rsid w:val="00202EDF"/>
    <w:rPr>
      <w:rFonts w:ascii="Calibri" w:hAnsi="Calibri"/>
      <w:sz w:val="22"/>
      <w:szCs w:val="22"/>
    </w:rPr>
  </w:style>
  <w:style w:type="paragraph" w:customStyle="1" w:styleId="FigureDesc">
    <w:name w:val="Figure Desc"/>
    <w:basedOn w:val="Normal"/>
    <w:link w:val="FigureDescChar"/>
    <w:qFormat/>
    <w:rsid w:val="00DB3EB3"/>
    <w:pPr>
      <w:jc w:val="center"/>
    </w:pPr>
    <w:rPr>
      <w:rFonts w:cstheme="minorHAnsi"/>
      <w:b/>
      <w:noProof/>
    </w:rPr>
  </w:style>
  <w:style w:type="character" w:customStyle="1" w:styleId="FigureDescChar">
    <w:name w:val="Figure Desc Char"/>
    <w:basedOn w:val="DefaultParagraphFont"/>
    <w:link w:val="FigureDesc"/>
    <w:rsid w:val="00DB3EB3"/>
    <w:rPr>
      <w:rFonts w:asciiTheme="minorHAnsi" w:hAnsiTheme="minorHAnsi" w:cstheme="minorHAnsi"/>
      <w:b/>
      <w:noProof/>
      <w:sz w:val="22"/>
      <w:szCs w:val="22"/>
    </w:rPr>
  </w:style>
  <w:style w:type="character" w:customStyle="1" w:styleId="Heading9Char">
    <w:name w:val="Heading 9 Char"/>
    <w:basedOn w:val="DefaultParagraphFont"/>
    <w:link w:val="Heading9"/>
    <w:rsid w:val="00A162CB"/>
    <w:rPr>
      <w:rFonts w:asciiTheme="majorHAnsi" w:eastAsiaTheme="majorEastAsia" w:hAnsiTheme="majorHAnsi" w:cstheme="majorBidi"/>
      <w:i/>
      <w:iCs/>
      <w:color w:val="404040" w:themeColor="text1" w:themeTint="BF"/>
    </w:rPr>
  </w:style>
  <w:style w:type="paragraph" w:customStyle="1" w:styleId="WHeader1">
    <w:name w:val="W_Header 1"/>
    <w:basedOn w:val="Normal"/>
    <w:rsid w:val="00A162CB"/>
    <w:pPr>
      <w:keepNext/>
      <w:keepLines/>
      <w:autoSpaceDE w:val="0"/>
      <w:autoSpaceDN w:val="0"/>
      <w:adjustRightInd w:val="0"/>
      <w:spacing w:after="120"/>
    </w:pPr>
    <w:rPr>
      <w:rFonts w:ascii="Arial" w:hAnsi="Arial" w:cs="Arial"/>
      <w:b/>
      <w:bCs/>
      <w:color w:val="000000"/>
      <w:u w:val="single"/>
    </w:rPr>
  </w:style>
  <w:style w:type="paragraph" w:customStyle="1" w:styleId="BodyofText">
    <w:name w:val="Body of Text"/>
    <w:basedOn w:val="Normal"/>
    <w:next w:val="Normal"/>
    <w:rsid w:val="00811E87"/>
    <w:pPr>
      <w:tabs>
        <w:tab w:val="left" w:pos="360"/>
        <w:tab w:val="left" w:pos="720"/>
        <w:tab w:val="left" w:pos="1080"/>
        <w:tab w:val="left" w:pos="1440"/>
        <w:tab w:val="left" w:pos="1800"/>
      </w:tabs>
      <w:spacing w:after="120"/>
      <w:jc w:val="both"/>
    </w:pPr>
    <w:rPr>
      <w:rFonts w:ascii="Arial" w:hAnsi="Arial"/>
      <w:sz w:val="20"/>
      <w:szCs w:val="20"/>
    </w:rPr>
  </w:style>
  <w:style w:type="paragraph" w:customStyle="1" w:styleId="BodyofTextIndent1">
    <w:name w:val="Body of Text Indent 1"/>
    <w:basedOn w:val="NormalIndent"/>
    <w:rsid w:val="00811E87"/>
    <w:pPr>
      <w:tabs>
        <w:tab w:val="left" w:pos="360"/>
        <w:tab w:val="left" w:pos="720"/>
        <w:tab w:val="left" w:pos="1080"/>
        <w:tab w:val="left" w:pos="1440"/>
        <w:tab w:val="left" w:pos="1800"/>
      </w:tabs>
      <w:spacing w:after="120"/>
      <w:ind w:left="360"/>
      <w:jc w:val="both"/>
    </w:pPr>
    <w:rPr>
      <w:rFonts w:ascii="Arial" w:hAnsi="Arial"/>
      <w:sz w:val="20"/>
      <w:szCs w:val="20"/>
    </w:rPr>
  </w:style>
  <w:style w:type="paragraph" w:customStyle="1" w:styleId="Level1">
    <w:name w:val="Level 1"/>
    <w:basedOn w:val="Normal"/>
    <w:rsid w:val="00811E87"/>
    <w:pPr>
      <w:numPr>
        <w:numId w:val="3"/>
      </w:numPr>
      <w:spacing w:after="240"/>
      <w:outlineLvl w:val="0"/>
    </w:pPr>
    <w:rPr>
      <w:rFonts w:ascii="Arial" w:hAnsi="Arial"/>
      <w:color w:val="000000"/>
    </w:rPr>
  </w:style>
  <w:style w:type="paragraph" w:customStyle="1" w:styleId="Level2">
    <w:name w:val="Level 2"/>
    <w:basedOn w:val="Normal"/>
    <w:link w:val="Level2Char"/>
    <w:rsid w:val="00811E87"/>
    <w:pPr>
      <w:numPr>
        <w:ilvl w:val="1"/>
        <w:numId w:val="3"/>
      </w:numPr>
      <w:spacing w:after="240"/>
      <w:outlineLvl w:val="1"/>
    </w:pPr>
    <w:rPr>
      <w:color w:val="000000"/>
    </w:rPr>
  </w:style>
  <w:style w:type="paragraph" w:customStyle="1" w:styleId="Level3">
    <w:name w:val="Level 3"/>
    <w:basedOn w:val="Normal"/>
    <w:rsid w:val="00811E87"/>
    <w:pPr>
      <w:numPr>
        <w:ilvl w:val="2"/>
        <w:numId w:val="3"/>
      </w:numPr>
      <w:spacing w:after="240"/>
      <w:outlineLvl w:val="2"/>
    </w:pPr>
    <w:rPr>
      <w:color w:val="000000"/>
    </w:rPr>
  </w:style>
  <w:style w:type="paragraph" w:customStyle="1" w:styleId="Level4">
    <w:name w:val="Level 4"/>
    <w:basedOn w:val="Normal"/>
    <w:rsid w:val="00811E87"/>
    <w:pPr>
      <w:numPr>
        <w:ilvl w:val="3"/>
        <w:numId w:val="3"/>
      </w:numPr>
      <w:spacing w:after="240"/>
      <w:outlineLvl w:val="3"/>
    </w:pPr>
    <w:rPr>
      <w:rFonts w:ascii="Arial" w:hAnsi="Arial"/>
      <w:color w:val="000000"/>
    </w:rPr>
  </w:style>
  <w:style w:type="paragraph" w:customStyle="1" w:styleId="Level5">
    <w:name w:val="Level 5"/>
    <w:basedOn w:val="Normal"/>
    <w:rsid w:val="00811E87"/>
    <w:pPr>
      <w:numPr>
        <w:ilvl w:val="4"/>
        <w:numId w:val="3"/>
      </w:numPr>
      <w:spacing w:after="240"/>
      <w:outlineLvl w:val="4"/>
    </w:pPr>
    <w:rPr>
      <w:rFonts w:ascii="Arial" w:hAnsi="Arial"/>
      <w:color w:val="000000"/>
    </w:rPr>
  </w:style>
  <w:style w:type="paragraph" w:customStyle="1" w:styleId="Level6">
    <w:name w:val="Level 6"/>
    <w:basedOn w:val="Normal"/>
    <w:rsid w:val="00811E87"/>
    <w:pPr>
      <w:numPr>
        <w:ilvl w:val="5"/>
        <w:numId w:val="3"/>
      </w:numPr>
      <w:spacing w:before="240" w:after="120" w:line="240" w:lineRule="exact"/>
      <w:outlineLvl w:val="5"/>
    </w:pPr>
    <w:rPr>
      <w:rFonts w:ascii="Arial" w:hAnsi="Arial"/>
      <w:color w:val="000000"/>
    </w:rPr>
  </w:style>
  <w:style w:type="paragraph" w:customStyle="1" w:styleId="Level7">
    <w:name w:val="Level 7"/>
    <w:basedOn w:val="Normal"/>
    <w:rsid w:val="00811E87"/>
    <w:pPr>
      <w:numPr>
        <w:ilvl w:val="6"/>
        <w:numId w:val="3"/>
      </w:numPr>
      <w:spacing w:before="240" w:after="120" w:line="240" w:lineRule="exact"/>
      <w:outlineLvl w:val="6"/>
    </w:pPr>
    <w:rPr>
      <w:rFonts w:ascii="Arial" w:hAnsi="Arial"/>
      <w:color w:val="000000"/>
    </w:rPr>
  </w:style>
  <w:style w:type="paragraph" w:customStyle="1" w:styleId="Level8">
    <w:name w:val="Level 8"/>
    <w:basedOn w:val="Normal"/>
    <w:rsid w:val="00811E87"/>
    <w:pPr>
      <w:numPr>
        <w:ilvl w:val="7"/>
        <w:numId w:val="3"/>
      </w:numPr>
      <w:spacing w:before="240" w:after="120" w:line="240" w:lineRule="exact"/>
      <w:outlineLvl w:val="7"/>
    </w:pPr>
    <w:rPr>
      <w:rFonts w:ascii="Arial" w:hAnsi="Arial"/>
      <w:color w:val="000000"/>
    </w:rPr>
  </w:style>
  <w:style w:type="character" w:customStyle="1" w:styleId="Level2Char">
    <w:name w:val="Level 2 Char"/>
    <w:link w:val="Level2"/>
    <w:locked/>
    <w:rsid w:val="00811E87"/>
    <w:rPr>
      <w:rFonts w:asciiTheme="minorHAnsi" w:hAnsiTheme="minorHAnsi"/>
      <w:color w:val="000000"/>
      <w:sz w:val="22"/>
      <w:szCs w:val="22"/>
    </w:rPr>
  </w:style>
  <w:style w:type="character" w:customStyle="1" w:styleId="ListParagraphChar">
    <w:name w:val="List Paragraph Char"/>
    <w:link w:val="ListParagraph"/>
    <w:uiPriority w:val="34"/>
    <w:locked/>
    <w:rsid w:val="00811E87"/>
    <w:rPr>
      <w:rFonts w:ascii="Calibri" w:eastAsia="Calibri" w:hAnsi="Calibri" w:cs="Calibri"/>
      <w:sz w:val="24"/>
      <w:szCs w:val="24"/>
    </w:rPr>
  </w:style>
  <w:style w:type="paragraph" w:styleId="NormalIndent">
    <w:name w:val="Normal Indent"/>
    <w:basedOn w:val="Normal"/>
    <w:rsid w:val="00811E87"/>
    <w:pPr>
      <w:ind w:left="720"/>
    </w:pPr>
  </w:style>
  <w:style w:type="table" w:styleId="TableGrid">
    <w:name w:val="Table Grid"/>
    <w:basedOn w:val="TableNormal"/>
    <w:uiPriority w:val="59"/>
    <w:rsid w:val="00C60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rsid w:val="00C608F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3">
    <w:name w:val="Light List Accent 3"/>
    <w:basedOn w:val="TableNormal"/>
    <w:uiPriority w:val="61"/>
    <w:rsid w:val="00C608F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3">
    <w:name w:val="Table Grid 3"/>
    <w:basedOn w:val="TableNormal"/>
    <w:rsid w:val="00C608F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ediumGrid2-Accent3">
    <w:name w:val="Medium Grid 2 Accent 3"/>
    <w:basedOn w:val="TableNormal"/>
    <w:uiPriority w:val="68"/>
    <w:rsid w:val="001F6A30"/>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customStyle="1" w:styleId="pp-headline-item">
    <w:name w:val="pp-headline-item"/>
    <w:basedOn w:val="DefaultParagraphFont"/>
    <w:rsid w:val="001F6A30"/>
  </w:style>
  <w:style w:type="character" w:customStyle="1" w:styleId="Heading1Char">
    <w:name w:val="Heading 1 Char"/>
    <w:basedOn w:val="DefaultParagraphFont"/>
    <w:link w:val="Heading1"/>
    <w:uiPriority w:val="9"/>
    <w:rsid w:val="006D6152"/>
    <w:rPr>
      <w:rFonts w:ascii="Arial" w:hAnsi="Arial" w:cs="Arial"/>
      <w:b/>
      <w:bCs/>
      <w:color w:val="005C2A"/>
      <w:kern w:val="32"/>
      <w:sz w:val="28"/>
      <w:szCs w:val="28"/>
    </w:rPr>
  </w:style>
  <w:style w:type="character" w:styleId="CommentReference">
    <w:name w:val="annotation reference"/>
    <w:basedOn w:val="DefaultParagraphFont"/>
    <w:uiPriority w:val="99"/>
    <w:unhideWhenUsed/>
    <w:rsid w:val="00EA1DB2"/>
    <w:rPr>
      <w:sz w:val="16"/>
      <w:szCs w:val="16"/>
    </w:rPr>
  </w:style>
  <w:style w:type="paragraph" w:styleId="CommentText">
    <w:name w:val="annotation text"/>
    <w:basedOn w:val="Normal"/>
    <w:link w:val="CommentTextChar"/>
    <w:uiPriority w:val="99"/>
    <w:unhideWhenUsed/>
    <w:rsid w:val="00EA1DB2"/>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A1DB2"/>
    <w:rPr>
      <w:rFonts w:asciiTheme="minorHAnsi" w:eastAsiaTheme="minorHAnsi" w:hAnsiTheme="minorHAnsi" w:cstheme="minorBidi"/>
    </w:rPr>
  </w:style>
  <w:style w:type="paragraph" w:customStyle="1" w:styleId="bodyTopic">
    <w:name w:val="bodyTopic"/>
    <w:basedOn w:val="Body"/>
    <w:link w:val="bodyTopicChar"/>
    <w:qFormat/>
    <w:rsid w:val="00BD0F19"/>
    <w:pPr>
      <w:keepNext/>
    </w:pPr>
    <w:rPr>
      <w:b/>
      <w:sz w:val="24"/>
      <w:szCs w:val="24"/>
    </w:rPr>
  </w:style>
  <w:style w:type="character" w:customStyle="1" w:styleId="bodyTopicChar">
    <w:name w:val="bodyTopic Char"/>
    <w:basedOn w:val="BodyChar"/>
    <w:link w:val="bodyTopic"/>
    <w:rsid w:val="00BD0F19"/>
    <w:rPr>
      <w:rFonts w:asciiTheme="minorHAnsi" w:hAnsiTheme="minorHAnsi" w:cstheme="minorHAnsi"/>
      <w:b/>
      <w:sz w:val="24"/>
      <w:szCs w:val="24"/>
    </w:rPr>
  </w:style>
  <w:style w:type="character" w:customStyle="1" w:styleId="codeinline2">
    <w:name w:val="codeinline2"/>
    <w:basedOn w:val="DefaultParagraphFont"/>
    <w:rsid w:val="00BB43D5"/>
    <w:rPr>
      <w:rFonts w:ascii="Consolas" w:hAnsi="Consolas" w:cs="Consolas" w:hint="default"/>
    </w:rPr>
  </w:style>
  <w:style w:type="paragraph" w:customStyle="1" w:styleId="bodyIndent">
    <w:name w:val="body Indent"/>
    <w:basedOn w:val="Body"/>
    <w:link w:val="bodyIndentChar"/>
    <w:qFormat/>
    <w:rsid w:val="00623238"/>
    <w:pPr>
      <w:spacing w:before="240" w:line="220" w:lineRule="atLeast"/>
      <w:ind w:left="720"/>
    </w:pPr>
    <w:rPr>
      <w:sz w:val="20"/>
      <w:szCs w:val="20"/>
    </w:rPr>
  </w:style>
  <w:style w:type="paragraph" w:styleId="TOCHeading">
    <w:name w:val="TOC Heading"/>
    <w:basedOn w:val="Heading1"/>
    <w:next w:val="Normal"/>
    <w:uiPriority w:val="39"/>
    <w:unhideWhenUsed/>
    <w:qFormat/>
    <w:rsid w:val="00614813"/>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bodyIndentChar">
    <w:name w:val="body Indent Char"/>
    <w:basedOn w:val="BodyChar"/>
    <w:link w:val="bodyIndent"/>
    <w:rsid w:val="00623238"/>
    <w:rPr>
      <w:rFonts w:ascii="Calibri" w:hAnsi="Calibri" w:cstheme="minorHAnsi"/>
      <w:sz w:val="22"/>
      <w:szCs w:val="22"/>
    </w:rPr>
  </w:style>
  <w:style w:type="paragraph" w:styleId="TOC2">
    <w:name w:val="toc 2"/>
    <w:basedOn w:val="Normal"/>
    <w:next w:val="Body"/>
    <w:autoRedefine/>
    <w:uiPriority w:val="39"/>
    <w:unhideWhenUsed/>
    <w:rsid w:val="00DC4C57"/>
    <w:pPr>
      <w:tabs>
        <w:tab w:val="decimal" w:pos="6480"/>
      </w:tabs>
      <w:spacing w:line="240" w:lineRule="exact"/>
      <w:ind w:left="540"/>
    </w:pPr>
    <w:rPr>
      <w:rFonts w:ascii="Calibri" w:hAnsi="Calibri"/>
      <w:bCs/>
      <w:sz w:val="20"/>
      <w:szCs w:val="20"/>
    </w:rPr>
  </w:style>
  <w:style w:type="paragraph" w:styleId="TOC3">
    <w:name w:val="toc 3"/>
    <w:basedOn w:val="Normal"/>
    <w:next w:val="Body"/>
    <w:autoRedefine/>
    <w:uiPriority w:val="39"/>
    <w:unhideWhenUsed/>
    <w:rsid w:val="00E527F6"/>
    <w:pPr>
      <w:spacing w:line="240" w:lineRule="exact"/>
      <w:ind w:left="576"/>
    </w:pPr>
    <w:rPr>
      <w:rFonts w:ascii="Calibri" w:hAnsi="Calibri"/>
      <w:sz w:val="18"/>
      <w:szCs w:val="20"/>
    </w:rPr>
  </w:style>
  <w:style w:type="paragraph" w:styleId="TOC4">
    <w:name w:val="toc 4"/>
    <w:basedOn w:val="Normal"/>
    <w:next w:val="Normal"/>
    <w:autoRedefine/>
    <w:unhideWhenUsed/>
    <w:rsid w:val="00500000"/>
    <w:pPr>
      <w:ind w:left="480"/>
    </w:pPr>
    <w:rPr>
      <w:sz w:val="20"/>
      <w:szCs w:val="20"/>
    </w:rPr>
  </w:style>
  <w:style w:type="paragraph" w:styleId="TOC5">
    <w:name w:val="toc 5"/>
    <w:basedOn w:val="Normal"/>
    <w:next w:val="Normal"/>
    <w:autoRedefine/>
    <w:unhideWhenUsed/>
    <w:rsid w:val="00500000"/>
    <w:pPr>
      <w:ind w:left="720"/>
    </w:pPr>
    <w:rPr>
      <w:sz w:val="20"/>
      <w:szCs w:val="20"/>
    </w:rPr>
  </w:style>
  <w:style w:type="paragraph" w:styleId="TOC6">
    <w:name w:val="toc 6"/>
    <w:basedOn w:val="Normal"/>
    <w:next w:val="Normal"/>
    <w:autoRedefine/>
    <w:unhideWhenUsed/>
    <w:rsid w:val="00500000"/>
    <w:pPr>
      <w:ind w:left="960"/>
    </w:pPr>
    <w:rPr>
      <w:sz w:val="20"/>
      <w:szCs w:val="20"/>
    </w:rPr>
  </w:style>
  <w:style w:type="paragraph" w:styleId="TOC7">
    <w:name w:val="toc 7"/>
    <w:basedOn w:val="Normal"/>
    <w:next w:val="Normal"/>
    <w:autoRedefine/>
    <w:unhideWhenUsed/>
    <w:rsid w:val="00500000"/>
    <w:pPr>
      <w:ind w:left="1200"/>
    </w:pPr>
    <w:rPr>
      <w:sz w:val="20"/>
      <w:szCs w:val="20"/>
    </w:rPr>
  </w:style>
  <w:style w:type="paragraph" w:styleId="TOC8">
    <w:name w:val="toc 8"/>
    <w:basedOn w:val="Normal"/>
    <w:next w:val="Normal"/>
    <w:autoRedefine/>
    <w:unhideWhenUsed/>
    <w:rsid w:val="00500000"/>
    <w:pPr>
      <w:ind w:left="1440"/>
    </w:pPr>
    <w:rPr>
      <w:sz w:val="20"/>
      <w:szCs w:val="20"/>
    </w:rPr>
  </w:style>
  <w:style w:type="paragraph" w:styleId="TOC9">
    <w:name w:val="toc 9"/>
    <w:basedOn w:val="Normal"/>
    <w:next w:val="Normal"/>
    <w:autoRedefine/>
    <w:unhideWhenUsed/>
    <w:rsid w:val="00500000"/>
    <w:pPr>
      <w:ind w:left="1680"/>
    </w:pPr>
    <w:rPr>
      <w:sz w:val="20"/>
      <w:szCs w:val="20"/>
    </w:rPr>
  </w:style>
  <w:style w:type="paragraph" w:styleId="CommentSubject">
    <w:name w:val="annotation subject"/>
    <w:basedOn w:val="CommentText"/>
    <w:next w:val="CommentText"/>
    <w:link w:val="CommentSubjectChar"/>
    <w:semiHidden/>
    <w:unhideWhenUsed/>
    <w:rsid w:val="00E150A8"/>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150A8"/>
    <w:rPr>
      <w:rFonts w:asciiTheme="minorHAnsi" w:eastAsiaTheme="minorHAnsi" w:hAnsiTheme="minorHAnsi" w:cstheme="minorBidi"/>
      <w:b/>
      <w:bCs/>
    </w:rPr>
  </w:style>
  <w:style w:type="character" w:styleId="IntenseEmphasis">
    <w:name w:val="Intense Emphasis"/>
    <w:basedOn w:val="DefaultParagraphFont"/>
    <w:uiPriority w:val="21"/>
    <w:qFormat/>
    <w:rsid w:val="00422C15"/>
    <w:rPr>
      <w:b/>
      <w:bCs/>
      <w:i/>
      <w:iCs/>
      <w:color w:val="4F81BD" w:themeColor="accent1"/>
    </w:rPr>
  </w:style>
  <w:style w:type="character" w:customStyle="1" w:styleId="Heading4Char">
    <w:name w:val="Heading 4 Char"/>
    <w:basedOn w:val="DefaultParagraphFont"/>
    <w:link w:val="Heading4"/>
    <w:rsid w:val="005C32EB"/>
    <w:rPr>
      <w:rFonts w:ascii="Arial" w:eastAsiaTheme="majorEastAsia" w:hAnsi="Arial" w:cs="Arial"/>
      <w:b/>
      <w:bCs/>
      <w:color w:val="000000" w:themeColor="text1"/>
      <w:sz w:val="22"/>
      <w:u w:val="single"/>
    </w:rPr>
  </w:style>
  <w:style w:type="character" w:customStyle="1" w:styleId="apple-style-span">
    <w:name w:val="apple-style-span"/>
    <w:basedOn w:val="DefaultParagraphFont"/>
    <w:rsid w:val="008F008D"/>
  </w:style>
  <w:style w:type="character" w:customStyle="1" w:styleId="apple-converted-space">
    <w:name w:val="apple-converted-space"/>
    <w:basedOn w:val="DefaultParagraphFont"/>
    <w:rsid w:val="008F008D"/>
  </w:style>
  <w:style w:type="paragraph" w:customStyle="1" w:styleId="body-Question">
    <w:name w:val="body - Question"/>
    <w:basedOn w:val="Body"/>
    <w:link w:val="body-QuestionChar"/>
    <w:qFormat/>
    <w:rsid w:val="008F008D"/>
    <w:pPr>
      <w:keepNext/>
      <w:spacing w:before="180" w:after="0" w:line="220" w:lineRule="atLeast"/>
    </w:pPr>
    <w:rPr>
      <w:rFonts w:ascii="Segoe UI" w:eastAsiaTheme="majorEastAsia" w:hAnsi="Segoe UI" w:cs="Segoe UI"/>
      <w:b/>
      <w:color w:val="30332D"/>
      <w:u w:val="single"/>
    </w:rPr>
  </w:style>
  <w:style w:type="paragraph" w:customStyle="1" w:styleId="body-answer">
    <w:name w:val="body-answer"/>
    <w:basedOn w:val="bodyIndent"/>
    <w:link w:val="body-answerChar"/>
    <w:qFormat/>
    <w:rsid w:val="008F008D"/>
    <w:pPr>
      <w:spacing w:before="120"/>
    </w:pPr>
  </w:style>
  <w:style w:type="character" w:customStyle="1" w:styleId="body-QuestionChar">
    <w:name w:val="body - Question Char"/>
    <w:basedOn w:val="BodyChar"/>
    <w:link w:val="body-Question"/>
    <w:rsid w:val="008F008D"/>
    <w:rPr>
      <w:rFonts w:ascii="Segoe UI" w:eastAsiaTheme="majorEastAsia" w:hAnsi="Segoe UI" w:cs="Segoe UI"/>
      <w:b/>
      <w:color w:val="30332D"/>
      <w:sz w:val="22"/>
      <w:szCs w:val="22"/>
      <w:u w:val="single"/>
    </w:rPr>
  </w:style>
  <w:style w:type="character" w:customStyle="1" w:styleId="body-answerChar">
    <w:name w:val="body-answer Char"/>
    <w:basedOn w:val="bodyIndentChar"/>
    <w:link w:val="body-answer"/>
    <w:rsid w:val="008F008D"/>
    <w:rPr>
      <w:rFonts w:ascii="Calibri" w:hAnsi="Calibri" w:cstheme="minorHAnsi"/>
      <w:sz w:val="22"/>
      <w:szCs w:val="22"/>
    </w:rPr>
  </w:style>
  <w:style w:type="table" w:customStyle="1" w:styleId="MediumShading1-Accent11">
    <w:name w:val="Medium Shading 1 - Accent 11"/>
    <w:basedOn w:val="TableNormal"/>
    <w:uiPriority w:val="63"/>
    <w:rsid w:val="007511C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0">
    <w:name w:val="body"/>
    <w:basedOn w:val="Normal"/>
    <w:link w:val="bodyChar0"/>
    <w:rsid w:val="0065315F"/>
    <w:pPr>
      <w:spacing w:after="200" w:line="280" w:lineRule="exact"/>
      <w:ind w:left="-900"/>
    </w:pPr>
    <w:rPr>
      <w:rFonts w:cs="Tahoma"/>
      <w:color w:val="000000"/>
      <w:sz w:val="24"/>
      <w:szCs w:val="24"/>
    </w:rPr>
  </w:style>
  <w:style w:type="character" w:customStyle="1" w:styleId="bodyChar0">
    <w:name w:val="body Char"/>
    <w:basedOn w:val="DefaultParagraphFont"/>
    <w:link w:val="body0"/>
    <w:rsid w:val="00CE661A"/>
    <w:rPr>
      <w:rFonts w:asciiTheme="minorHAnsi" w:hAnsiTheme="minorHAnsi" w:cs="Tahoma"/>
      <w:color w:val="000000"/>
      <w:sz w:val="24"/>
      <w:szCs w:val="24"/>
    </w:rPr>
  </w:style>
  <w:style w:type="paragraph" w:customStyle="1" w:styleId="figure">
    <w:name w:val="figure"/>
    <w:basedOn w:val="body0"/>
    <w:link w:val="figureChar"/>
    <w:qFormat/>
    <w:rsid w:val="00103B9D"/>
    <w:pPr>
      <w:keepNext/>
      <w:spacing w:before="60" w:after="120" w:line="240" w:lineRule="atLeast"/>
      <w:ind w:left="0"/>
      <w:contextualSpacing/>
      <w:jc w:val="center"/>
    </w:pPr>
    <w:rPr>
      <w:noProof/>
      <w:sz w:val="22"/>
      <w:szCs w:val="22"/>
    </w:rPr>
  </w:style>
  <w:style w:type="character" w:customStyle="1" w:styleId="figureChar">
    <w:name w:val="figure Char"/>
    <w:basedOn w:val="bodyChar0"/>
    <w:link w:val="figure"/>
    <w:rsid w:val="00103B9D"/>
    <w:rPr>
      <w:rFonts w:asciiTheme="minorHAnsi" w:hAnsiTheme="minorHAnsi" w:cs="Tahoma"/>
      <w:noProof/>
      <w:color w:val="000000"/>
      <w:sz w:val="22"/>
      <w:szCs w:val="22"/>
    </w:rPr>
  </w:style>
  <w:style w:type="character" w:styleId="PlaceholderText">
    <w:name w:val="Placeholder Text"/>
    <w:basedOn w:val="DefaultParagraphFont"/>
    <w:uiPriority w:val="99"/>
    <w:semiHidden/>
    <w:rsid w:val="00253842"/>
    <w:rPr>
      <w:color w:val="808080"/>
    </w:rPr>
  </w:style>
  <w:style w:type="paragraph" w:customStyle="1" w:styleId="SHeading">
    <w:name w:val="SHeading"/>
    <w:basedOn w:val="Normal"/>
    <w:link w:val="SHeadingChar"/>
    <w:qFormat/>
    <w:rsid w:val="00F57213"/>
    <w:pPr>
      <w:keepNext/>
      <w:keepLines/>
      <w:spacing w:before="360" w:after="220"/>
    </w:pPr>
    <w:rPr>
      <w:rFonts w:ascii="Times New Roman" w:eastAsiaTheme="minorHAnsi" w:hAnsi="Times New Roman"/>
      <w:b/>
    </w:rPr>
  </w:style>
  <w:style w:type="character" w:customStyle="1" w:styleId="SHeadingChar">
    <w:name w:val="SHeading Char"/>
    <w:basedOn w:val="DefaultParagraphFont"/>
    <w:link w:val="SHeading"/>
    <w:rsid w:val="00F57213"/>
    <w:rPr>
      <w:rFonts w:eastAsiaTheme="minorHAnsi"/>
      <w:b/>
      <w:sz w:val="22"/>
      <w:szCs w:val="22"/>
    </w:rPr>
  </w:style>
  <w:style w:type="paragraph" w:customStyle="1" w:styleId="bodybullet">
    <w:name w:val="body_bullet"/>
    <w:basedOn w:val="Body"/>
    <w:link w:val="bodybulletChar"/>
    <w:qFormat/>
    <w:rsid w:val="000345A8"/>
    <w:pPr>
      <w:numPr>
        <w:numId w:val="19"/>
      </w:numPr>
      <w:jc w:val="left"/>
    </w:pPr>
  </w:style>
  <w:style w:type="character" w:customStyle="1" w:styleId="bodybulletChar">
    <w:name w:val="body_bullet Char"/>
    <w:basedOn w:val="bodyChar0"/>
    <w:link w:val="bodybullet"/>
    <w:rsid w:val="000345A8"/>
    <w:rPr>
      <w:rFonts w:ascii="Calibri" w:hAnsi="Calibri" w:cstheme="minorHAnsi"/>
      <w:color w:val="000000"/>
      <w:sz w:val="22"/>
      <w:szCs w:val="22"/>
    </w:rPr>
  </w:style>
  <w:style w:type="paragraph" w:styleId="NormalWeb">
    <w:name w:val="Normal (Web)"/>
    <w:basedOn w:val="Normal"/>
    <w:uiPriority w:val="99"/>
    <w:semiHidden/>
    <w:unhideWhenUsed/>
    <w:rsid w:val="006D57B9"/>
    <w:pPr>
      <w:spacing w:before="100" w:beforeAutospacing="1" w:after="100" w:afterAutospacing="1"/>
    </w:pPr>
    <w:rPr>
      <w:rFonts w:ascii="Times New Roman" w:hAnsi="Times New Roman"/>
      <w:sz w:val="24"/>
      <w:szCs w:val="24"/>
    </w:rPr>
  </w:style>
  <w:style w:type="paragraph" w:customStyle="1" w:styleId="mockheading2">
    <w:name w:val="mock heading2"/>
    <w:basedOn w:val="Normal"/>
    <w:link w:val="mockheading2Char"/>
    <w:qFormat/>
    <w:rsid w:val="002D3CD3"/>
    <w:pPr>
      <w:widowControl w:val="0"/>
      <w:spacing w:before="240" w:after="60"/>
    </w:pPr>
    <w:rPr>
      <w:rFonts w:ascii="Arial" w:hAnsi="Arial" w:cs="Arial"/>
      <w:b/>
      <w:bCs/>
      <w:color w:val="3333CC"/>
      <w:sz w:val="24"/>
      <w:szCs w:val="32"/>
    </w:rPr>
  </w:style>
  <w:style w:type="character" w:customStyle="1" w:styleId="mockheading2Char">
    <w:name w:val="mock heading2 Char"/>
    <w:basedOn w:val="DefaultParagraphFont"/>
    <w:link w:val="mockheading2"/>
    <w:rsid w:val="002D3CD3"/>
    <w:rPr>
      <w:rFonts w:ascii="Arial" w:hAnsi="Arial" w:cs="Arial"/>
      <w:b/>
      <w:bCs/>
      <w:color w:val="000000"/>
      <w:sz w:val="24"/>
      <w:szCs w:val="32"/>
    </w:rPr>
  </w:style>
  <w:style w:type="paragraph" w:styleId="Caption">
    <w:name w:val="caption"/>
    <w:basedOn w:val="Normal"/>
    <w:next w:val="Normal"/>
    <w:uiPriority w:val="35"/>
    <w:unhideWhenUsed/>
    <w:qFormat/>
    <w:rsid w:val="00296454"/>
    <w:pPr>
      <w:spacing w:after="200"/>
    </w:pPr>
    <w:rPr>
      <w:rFonts w:eastAsiaTheme="minorHAnsi" w:cstheme="minorBidi"/>
      <w:b/>
      <w:bCs/>
      <w:color w:val="4F81BD" w:themeColor="accent1"/>
      <w:sz w:val="18"/>
      <w:szCs w:val="18"/>
    </w:rPr>
  </w:style>
  <w:style w:type="character" w:customStyle="1" w:styleId="FooterChar">
    <w:name w:val="Footer Char"/>
    <w:basedOn w:val="DefaultParagraphFont"/>
    <w:link w:val="Footer"/>
    <w:rsid w:val="00B77536"/>
    <w:rPr>
      <w:rFonts w:asciiTheme="minorHAnsi" w:hAnsiTheme="minorHAnsi"/>
      <w:sz w:val="22"/>
      <w:szCs w:val="22"/>
    </w:rPr>
  </w:style>
  <w:style w:type="character" w:customStyle="1" w:styleId="HeaderChar">
    <w:name w:val="Header Char"/>
    <w:basedOn w:val="DefaultParagraphFont"/>
    <w:link w:val="Header"/>
    <w:rsid w:val="008276B1"/>
    <w:rPr>
      <w:rFonts w:asciiTheme="minorHAnsi" w:hAnsiTheme="minorHAnsi"/>
      <w:sz w:val="22"/>
      <w:szCs w:val="22"/>
    </w:rPr>
  </w:style>
  <w:style w:type="character" w:customStyle="1" w:styleId="Heading5Char">
    <w:name w:val="Heading 5 Char"/>
    <w:basedOn w:val="DefaultParagraphFont"/>
    <w:link w:val="Heading5"/>
    <w:rsid w:val="005C32EB"/>
    <w:rPr>
      <w:rFonts w:ascii="Arial" w:eastAsiaTheme="majorEastAsia" w:hAnsi="Arial" w:cs="Arial"/>
      <w:b/>
      <w:bCs/>
      <w:i/>
      <w:iCs/>
      <w:color w:val="008000"/>
      <w:sz w:val="22"/>
    </w:rPr>
  </w:style>
  <w:style w:type="paragraph" w:customStyle="1" w:styleId="NumberedItem">
    <w:name w:val="Numbered Item"/>
    <w:basedOn w:val="bodybullet"/>
    <w:link w:val="NumberedItemChar"/>
    <w:qFormat/>
    <w:rsid w:val="00BB0246"/>
    <w:pPr>
      <w:numPr>
        <w:numId w:val="31"/>
      </w:numPr>
    </w:pPr>
  </w:style>
  <w:style w:type="character" w:styleId="Strong">
    <w:name w:val="Strong"/>
    <w:qFormat/>
    <w:rsid w:val="00BE2A98"/>
    <w:rPr>
      <w:b/>
    </w:rPr>
  </w:style>
  <w:style w:type="character" w:customStyle="1" w:styleId="NumberedItemChar">
    <w:name w:val="Numbered Item Char"/>
    <w:basedOn w:val="bodybulletChar"/>
    <w:link w:val="NumberedItem"/>
    <w:rsid w:val="00BB0246"/>
    <w:rPr>
      <w:rFonts w:ascii="Calibri" w:hAnsi="Calibri" w:cstheme="minorHAnsi"/>
      <w:color w:val="000000"/>
      <w:sz w:val="22"/>
      <w:szCs w:val="22"/>
    </w:rPr>
  </w:style>
  <w:style w:type="paragraph" w:customStyle="1" w:styleId="bodysignature">
    <w:name w:val="body signature"/>
    <w:basedOn w:val="Normal"/>
    <w:link w:val="bodysignatureChar"/>
    <w:qFormat/>
    <w:rsid w:val="00666C0E"/>
    <w:pPr>
      <w:ind w:left="4770"/>
    </w:pPr>
    <w:rPr>
      <w:rFonts w:cstheme="minorHAnsi"/>
    </w:rPr>
  </w:style>
  <w:style w:type="character" w:customStyle="1" w:styleId="bodysignatureChar">
    <w:name w:val="body signature Char"/>
    <w:basedOn w:val="DefaultParagraphFont"/>
    <w:link w:val="bodysignature"/>
    <w:rsid w:val="00666C0E"/>
    <w:rPr>
      <w:rFonts w:asciiTheme="minorHAnsi" w:hAnsiTheme="minorHAnsi" w:cstheme="minorHAnsi"/>
      <w:sz w:val="22"/>
      <w:szCs w:val="22"/>
    </w:rPr>
  </w:style>
  <w:style w:type="paragraph" w:customStyle="1" w:styleId="bodytable">
    <w:name w:val="body_table"/>
    <w:basedOn w:val="Normal"/>
    <w:rsid w:val="004D2AD8"/>
    <w:pPr>
      <w:spacing w:line="240" w:lineRule="exact"/>
    </w:pPr>
    <w:rPr>
      <w:rFonts w:ascii="Times New Roman" w:hAnsi="Times New Roman"/>
      <w:sz w:val="20"/>
      <w:szCs w:val="20"/>
    </w:rPr>
  </w:style>
  <w:style w:type="paragraph" w:customStyle="1" w:styleId="Body2">
    <w:name w:val="Body2"/>
    <w:basedOn w:val="Normal"/>
    <w:rsid w:val="004D2AD8"/>
    <w:pPr>
      <w:spacing w:before="240" w:line="240" w:lineRule="exact"/>
      <w:ind w:left="1800"/>
    </w:pPr>
    <w:rPr>
      <w:rFonts w:ascii="Times New Roman" w:hAnsi="Times New Roman"/>
      <w:sz w:val="20"/>
      <w:szCs w:val="20"/>
    </w:rPr>
  </w:style>
  <w:style w:type="paragraph" w:customStyle="1" w:styleId="resumebody">
    <w:name w:val="resume body"/>
    <w:basedOn w:val="Normal"/>
    <w:link w:val="resumebodyChar"/>
    <w:qFormat/>
    <w:rsid w:val="004D2AD8"/>
    <w:pPr>
      <w:spacing w:after="60" w:line="260" w:lineRule="exact"/>
      <w:ind w:right="525"/>
    </w:pPr>
    <w:rPr>
      <w:bCs/>
    </w:rPr>
  </w:style>
  <w:style w:type="character" w:customStyle="1" w:styleId="resumebodyChar">
    <w:name w:val="resume body Char"/>
    <w:basedOn w:val="DefaultParagraphFont"/>
    <w:link w:val="resumebody"/>
    <w:rsid w:val="004D2AD8"/>
    <w:rPr>
      <w:rFonts w:asciiTheme="minorHAnsi" w:hAnsiTheme="minorHAnsi"/>
      <w:bCs/>
      <w:sz w:val="22"/>
      <w:szCs w:val="22"/>
    </w:rPr>
  </w:style>
  <w:style w:type="paragraph" w:customStyle="1" w:styleId="Bodyboxed">
    <w:name w:val="Body_boxed"/>
    <w:basedOn w:val="Body"/>
    <w:link w:val="BodyboxedChar"/>
    <w:qFormat/>
    <w:rsid w:val="009943B7"/>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spacing w:before="360" w:line="240" w:lineRule="atLeast"/>
      <w:ind w:left="1440" w:right="1440"/>
      <w:jc w:val="center"/>
    </w:pPr>
  </w:style>
  <w:style w:type="character" w:customStyle="1" w:styleId="BodyboxedChar">
    <w:name w:val="Body_boxed Char"/>
    <w:basedOn w:val="BodyChar"/>
    <w:link w:val="Bodyboxed"/>
    <w:rsid w:val="009943B7"/>
    <w:rPr>
      <w:rFonts w:ascii="Calibri" w:hAnsi="Calibri" w:cstheme="minorHAnsi"/>
      <w:sz w:val="22"/>
      <w:szCs w:val="22"/>
    </w:rPr>
  </w:style>
  <w:style w:type="character" w:styleId="UnresolvedMention">
    <w:name w:val="Unresolved Mention"/>
    <w:basedOn w:val="DefaultParagraphFont"/>
    <w:uiPriority w:val="99"/>
    <w:semiHidden/>
    <w:unhideWhenUsed/>
    <w:rsid w:val="00FA72CD"/>
    <w:rPr>
      <w:color w:val="605E5C"/>
      <w:shd w:val="clear" w:color="auto" w:fill="E1DFDD"/>
    </w:rPr>
  </w:style>
  <w:style w:type="table" w:styleId="PlainTable4">
    <w:name w:val="Plain Table 4"/>
    <w:basedOn w:val="TableNormal"/>
    <w:uiPriority w:val="44"/>
    <w:rsid w:val="00DB0F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A7399"/>
    <w:pPr>
      <w:autoSpaceDE w:val="0"/>
      <w:autoSpaceDN w:val="0"/>
      <w:adjustRightInd w:val="0"/>
    </w:pPr>
    <w:rPr>
      <w:rFonts w:ascii="Arial" w:hAnsi="Arial" w:cs="Arial"/>
      <w:color w:val="000000"/>
      <w:sz w:val="24"/>
      <w:szCs w:val="24"/>
    </w:rPr>
  </w:style>
  <w:style w:type="table" w:styleId="ListTable4">
    <w:name w:val="List Table 4"/>
    <w:basedOn w:val="TableNormal"/>
    <w:uiPriority w:val="49"/>
    <w:rsid w:val="00664B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basedOn w:val="DefaultParagraphFont"/>
    <w:link w:val="Heading6"/>
    <w:rsid w:val="005C32EB"/>
    <w:rPr>
      <w:rFonts w:asciiTheme="minorHAnsi" w:eastAsiaTheme="majorEastAsia" w:hAnsiTheme="minorHAnsi" w:cstheme="majorBidi"/>
      <w:b/>
      <w:bCs/>
      <w:color w:val="243F60" w:themeColor="accent1" w:themeShade="7F"/>
      <w:sz w:val="22"/>
      <w:szCs w:val="22"/>
    </w:rPr>
  </w:style>
  <w:style w:type="paragraph" w:styleId="Revision">
    <w:name w:val="Revision"/>
    <w:hidden/>
    <w:uiPriority w:val="99"/>
    <w:semiHidden/>
    <w:rsid w:val="004A6689"/>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6009">
      <w:bodyDiv w:val="1"/>
      <w:marLeft w:val="0"/>
      <w:marRight w:val="0"/>
      <w:marTop w:val="0"/>
      <w:marBottom w:val="0"/>
      <w:divBdr>
        <w:top w:val="none" w:sz="0" w:space="0" w:color="auto"/>
        <w:left w:val="none" w:sz="0" w:space="0" w:color="auto"/>
        <w:bottom w:val="none" w:sz="0" w:space="0" w:color="auto"/>
        <w:right w:val="none" w:sz="0" w:space="0" w:color="auto"/>
      </w:divBdr>
    </w:div>
    <w:div w:id="31733240">
      <w:bodyDiv w:val="1"/>
      <w:marLeft w:val="0"/>
      <w:marRight w:val="0"/>
      <w:marTop w:val="0"/>
      <w:marBottom w:val="0"/>
      <w:divBdr>
        <w:top w:val="none" w:sz="0" w:space="0" w:color="auto"/>
        <w:left w:val="none" w:sz="0" w:space="0" w:color="auto"/>
        <w:bottom w:val="none" w:sz="0" w:space="0" w:color="auto"/>
        <w:right w:val="none" w:sz="0" w:space="0" w:color="auto"/>
      </w:divBdr>
      <w:divsChild>
        <w:div w:id="287904653">
          <w:marLeft w:val="0"/>
          <w:marRight w:val="0"/>
          <w:marTop w:val="0"/>
          <w:marBottom w:val="0"/>
          <w:divBdr>
            <w:top w:val="none" w:sz="0" w:space="0" w:color="auto"/>
            <w:left w:val="none" w:sz="0" w:space="0" w:color="auto"/>
            <w:bottom w:val="none" w:sz="0" w:space="0" w:color="auto"/>
            <w:right w:val="none" w:sz="0" w:space="0" w:color="auto"/>
          </w:divBdr>
        </w:div>
        <w:div w:id="386271342">
          <w:marLeft w:val="0"/>
          <w:marRight w:val="0"/>
          <w:marTop w:val="0"/>
          <w:marBottom w:val="0"/>
          <w:divBdr>
            <w:top w:val="none" w:sz="0" w:space="0" w:color="auto"/>
            <w:left w:val="none" w:sz="0" w:space="0" w:color="auto"/>
            <w:bottom w:val="none" w:sz="0" w:space="0" w:color="auto"/>
            <w:right w:val="none" w:sz="0" w:space="0" w:color="auto"/>
          </w:divBdr>
        </w:div>
        <w:div w:id="2111930353">
          <w:marLeft w:val="0"/>
          <w:marRight w:val="0"/>
          <w:marTop w:val="0"/>
          <w:marBottom w:val="0"/>
          <w:divBdr>
            <w:top w:val="none" w:sz="0" w:space="0" w:color="auto"/>
            <w:left w:val="none" w:sz="0" w:space="0" w:color="auto"/>
            <w:bottom w:val="none" w:sz="0" w:space="0" w:color="auto"/>
            <w:right w:val="none" w:sz="0" w:space="0" w:color="auto"/>
          </w:divBdr>
        </w:div>
        <w:div w:id="1832981343">
          <w:marLeft w:val="0"/>
          <w:marRight w:val="0"/>
          <w:marTop w:val="0"/>
          <w:marBottom w:val="0"/>
          <w:divBdr>
            <w:top w:val="none" w:sz="0" w:space="0" w:color="auto"/>
            <w:left w:val="none" w:sz="0" w:space="0" w:color="auto"/>
            <w:bottom w:val="none" w:sz="0" w:space="0" w:color="auto"/>
            <w:right w:val="none" w:sz="0" w:space="0" w:color="auto"/>
          </w:divBdr>
        </w:div>
        <w:div w:id="614482622">
          <w:marLeft w:val="0"/>
          <w:marRight w:val="0"/>
          <w:marTop w:val="0"/>
          <w:marBottom w:val="0"/>
          <w:divBdr>
            <w:top w:val="none" w:sz="0" w:space="0" w:color="auto"/>
            <w:left w:val="none" w:sz="0" w:space="0" w:color="auto"/>
            <w:bottom w:val="none" w:sz="0" w:space="0" w:color="auto"/>
            <w:right w:val="none" w:sz="0" w:space="0" w:color="auto"/>
          </w:divBdr>
        </w:div>
        <w:div w:id="282152756">
          <w:marLeft w:val="0"/>
          <w:marRight w:val="0"/>
          <w:marTop w:val="0"/>
          <w:marBottom w:val="0"/>
          <w:divBdr>
            <w:top w:val="none" w:sz="0" w:space="0" w:color="auto"/>
            <w:left w:val="none" w:sz="0" w:space="0" w:color="auto"/>
            <w:bottom w:val="none" w:sz="0" w:space="0" w:color="auto"/>
            <w:right w:val="none" w:sz="0" w:space="0" w:color="auto"/>
          </w:divBdr>
        </w:div>
        <w:div w:id="350302397">
          <w:marLeft w:val="0"/>
          <w:marRight w:val="0"/>
          <w:marTop w:val="0"/>
          <w:marBottom w:val="0"/>
          <w:divBdr>
            <w:top w:val="none" w:sz="0" w:space="0" w:color="auto"/>
            <w:left w:val="none" w:sz="0" w:space="0" w:color="auto"/>
            <w:bottom w:val="none" w:sz="0" w:space="0" w:color="auto"/>
            <w:right w:val="none" w:sz="0" w:space="0" w:color="auto"/>
          </w:divBdr>
        </w:div>
        <w:div w:id="1559628337">
          <w:marLeft w:val="0"/>
          <w:marRight w:val="0"/>
          <w:marTop w:val="0"/>
          <w:marBottom w:val="0"/>
          <w:divBdr>
            <w:top w:val="none" w:sz="0" w:space="0" w:color="auto"/>
            <w:left w:val="none" w:sz="0" w:space="0" w:color="auto"/>
            <w:bottom w:val="none" w:sz="0" w:space="0" w:color="auto"/>
            <w:right w:val="none" w:sz="0" w:space="0" w:color="auto"/>
          </w:divBdr>
        </w:div>
        <w:div w:id="63114426">
          <w:marLeft w:val="0"/>
          <w:marRight w:val="0"/>
          <w:marTop w:val="0"/>
          <w:marBottom w:val="0"/>
          <w:divBdr>
            <w:top w:val="none" w:sz="0" w:space="0" w:color="auto"/>
            <w:left w:val="none" w:sz="0" w:space="0" w:color="auto"/>
            <w:bottom w:val="none" w:sz="0" w:space="0" w:color="auto"/>
            <w:right w:val="none" w:sz="0" w:space="0" w:color="auto"/>
          </w:divBdr>
        </w:div>
        <w:div w:id="1015690598">
          <w:marLeft w:val="0"/>
          <w:marRight w:val="0"/>
          <w:marTop w:val="0"/>
          <w:marBottom w:val="0"/>
          <w:divBdr>
            <w:top w:val="none" w:sz="0" w:space="0" w:color="auto"/>
            <w:left w:val="none" w:sz="0" w:space="0" w:color="auto"/>
            <w:bottom w:val="none" w:sz="0" w:space="0" w:color="auto"/>
            <w:right w:val="none" w:sz="0" w:space="0" w:color="auto"/>
          </w:divBdr>
        </w:div>
        <w:div w:id="869728796">
          <w:marLeft w:val="0"/>
          <w:marRight w:val="0"/>
          <w:marTop w:val="0"/>
          <w:marBottom w:val="0"/>
          <w:divBdr>
            <w:top w:val="none" w:sz="0" w:space="0" w:color="auto"/>
            <w:left w:val="none" w:sz="0" w:space="0" w:color="auto"/>
            <w:bottom w:val="none" w:sz="0" w:space="0" w:color="auto"/>
            <w:right w:val="none" w:sz="0" w:space="0" w:color="auto"/>
          </w:divBdr>
        </w:div>
      </w:divsChild>
    </w:div>
    <w:div w:id="67263866">
      <w:bodyDiv w:val="1"/>
      <w:marLeft w:val="0"/>
      <w:marRight w:val="0"/>
      <w:marTop w:val="0"/>
      <w:marBottom w:val="0"/>
      <w:divBdr>
        <w:top w:val="none" w:sz="0" w:space="0" w:color="auto"/>
        <w:left w:val="none" w:sz="0" w:space="0" w:color="auto"/>
        <w:bottom w:val="none" w:sz="0" w:space="0" w:color="auto"/>
        <w:right w:val="none" w:sz="0" w:space="0" w:color="auto"/>
      </w:divBdr>
    </w:div>
    <w:div w:id="73473576">
      <w:bodyDiv w:val="1"/>
      <w:marLeft w:val="0"/>
      <w:marRight w:val="0"/>
      <w:marTop w:val="0"/>
      <w:marBottom w:val="0"/>
      <w:divBdr>
        <w:top w:val="none" w:sz="0" w:space="0" w:color="auto"/>
        <w:left w:val="none" w:sz="0" w:space="0" w:color="auto"/>
        <w:bottom w:val="none" w:sz="0" w:space="0" w:color="auto"/>
        <w:right w:val="none" w:sz="0" w:space="0" w:color="auto"/>
      </w:divBdr>
    </w:div>
    <w:div w:id="125978003">
      <w:bodyDiv w:val="1"/>
      <w:marLeft w:val="0"/>
      <w:marRight w:val="0"/>
      <w:marTop w:val="0"/>
      <w:marBottom w:val="0"/>
      <w:divBdr>
        <w:top w:val="none" w:sz="0" w:space="0" w:color="auto"/>
        <w:left w:val="none" w:sz="0" w:space="0" w:color="auto"/>
        <w:bottom w:val="none" w:sz="0" w:space="0" w:color="auto"/>
        <w:right w:val="none" w:sz="0" w:space="0" w:color="auto"/>
      </w:divBdr>
    </w:div>
    <w:div w:id="143350903">
      <w:bodyDiv w:val="1"/>
      <w:marLeft w:val="0"/>
      <w:marRight w:val="0"/>
      <w:marTop w:val="0"/>
      <w:marBottom w:val="0"/>
      <w:divBdr>
        <w:top w:val="none" w:sz="0" w:space="0" w:color="auto"/>
        <w:left w:val="none" w:sz="0" w:space="0" w:color="auto"/>
        <w:bottom w:val="none" w:sz="0" w:space="0" w:color="auto"/>
        <w:right w:val="none" w:sz="0" w:space="0" w:color="auto"/>
      </w:divBdr>
    </w:div>
    <w:div w:id="235019268">
      <w:bodyDiv w:val="1"/>
      <w:marLeft w:val="0"/>
      <w:marRight w:val="0"/>
      <w:marTop w:val="0"/>
      <w:marBottom w:val="0"/>
      <w:divBdr>
        <w:top w:val="none" w:sz="0" w:space="0" w:color="auto"/>
        <w:left w:val="none" w:sz="0" w:space="0" w:color="auto"/>
        <w:bottom w:val="none" w:sz="0" w:space="0" w:color="auto"/>
        <w:right w:val="none" w:sz="0" w:space="0" w:color="auto"/>
      </w:divBdr>
    </w:div>
    <w:div w:id="248927880">
      <w:bodyDiv w:val="1"/>
      <w:marLeft w:val="0"/>
      <w:marRight w:val="0"/>
      <w:marTop w:val="0"/>
      <w:marBottom w:val="0"/>
      <w:divBdr>
        <w:top w:val="none" w:sz="0" w:space="0" w:color="auto"/>
        <w:left w:val="none" w:sz="0" w:space="0" w:color="auto"/>
        <w:bottom w:val="none" w:sz="0" w:space="0" w:color="auto"/>
        <w:right w:val="none" w:sz="0" w:space="0" w:color="auto"/>
      </w:divBdr>
    </w:div>
    <w:div w:id="256788745">
      <w:bodyDiv w:val="1"/>
      <w:marLeft w:val="0"/>
      <w:marRight w:val="0"/>
      <w:marTop w:val="0"/>
      <w:marBottom w:val="0"/>
      <w:divBdr>
        <w:top w:val="none" w:sz="0" w:space="0" w:color="auto"/>
        <w:left w:val="none" w:sz="0" w:space="0" w:color="auto"/>
        <w:bottom w:val="none" w:sz="0" w:space="0" w:color="auto"/>
        <w:right w:val="none" w:sz="0" w:space="0" w:color="auto"/>
      </w:divBdr>
    </w:div>
    <w:div w:id="436290511">
      <w:bodyDiv w:val="1"/>
      <w:marLeft w:val="0"/>
      <w:marRight w:val="0"/>
      <w:marTop w:val="0"/>
      <w:marBottom w:val="0"/>
      <w:divBdr>
        <w:top w:val="none" w:sz="0" w:space="0" w:color="auto"/>
        <w:left w:val="none" w:sz="0" w:space="0" w:color="auto"/>
        <w:bottom w:val="none" w:sz="0" w:space="0" w:color="auto"/>
        <w:right w:val="none" w:sz="0" w:space="0" w:color="auto"/>
      </w:divBdr>
    </w:div>
    <w:div w:id="521171169">
      <w:bodyDiv w:val="1"/>
      <w:marLeft w:val="0"/>
      <w:marRight w:val="0"/>
      <w:marTop w:val="0"/>
      <w:marBottom w:val="0"/>
      <w:divBdr>
        <w:top w:val="none" w:sz="0" w:space="0" w:color="auto"/>
        <w:left w:val="none" w:sz="0" w:space="0" w:color="auto"/>
        <w:bottom w:val="none" w:sz="0" w:space="0" w:color="auto"/>
        <w:right w:val="none" w:sz="0" w:space="0" w:color="auto"/>
      </w:divBdr>
    </w:div>
    <w:div w:id="534343688">
      <w:bodyDiv w:val="1"/>
      <w:marLeft w:val="0"/>
      <w:marRight w:val="0"/>
      <w:marTop w:val="0"/>
      <w:marBottom w:val="0"/>
      <w:divBdr>
        <w:top w:val="none" w:sz="0" w:space="0" w:color="auto"/>
        <w:left w:val="none" w:sz="0" w:space="0" w:color="auto"/>
        <w:bottom w:val="none" w:sz="0" w:space="0" w:color="auto"/>
        <w:right w:val="none" w:sz="0" w:space="0" w:color="auto"/>
      </w:divBdr>
    </w:div>
    <w:div w:id="585699008">
      <w:bodyDiv w:val="1"/>
      <w:marLeft w:val="0"/>
      <w:marRight w:val="0"/>
      <w:marTop w:val="0"/>
      <w:marBottom w:val="0"/>
      <w:divBdr>
        <w:top w:val="none" w:sz="0" w:space="0" w:color="auto"/>
        <w:left w:val="none" w:sz="0" w:space="0" w:color="auto"/>
        <w:bottom w:val="none" w:sz="0" w:space="0" w:color="auto"/>
        <w:right w:val="none" w:sz="0" w:space="0" w:color="auto"/>
      </w:divBdr>
    </w:div>
    <w:div w:id="593637294">
      <w:bodyDiv w:val="1"/>
      <w:marLeft w:val="0"/>
      <w:marRight w:val="0"/>
      <w:marTop w:val="0"/>
      <w:marBottom w:val="0"/>
      <w:divBdr>
        <w:top w:val="none" w:sz="0" w:space="0" w:color="auto"/>
        <w:left w:val="none" w:sz="0" w:space="0" w:color="auto"/>
        <w:bottom w:val="none" w:sz="0" w:space="0" w:color="auto"/>
        <w:right w:val="none" w:sz="0" w:space="0" w:color="auto"/>
      </w:divBdr>
    </w:div>
    <w:div w:id="599724057">
      <w:bodyDiv w:val="1"/>
      <w:marLeft w:val="0"/>
      <w:marRight w:val="0"/>
      <w:marTop w:val="0"/>
      <w:marBottom w:val="0"/>
      <w:divBdr>
        <w:top w:val="none" w:sz="0" w:space="0" w:color="auto"/>
        <w:left w:val="none" w:sz="0" w:space="0" w:color="auto"/>
        <w:bottom w:val="none" w:sz="0" w:space="0" w:color="auto"/>
        <w:right w:val="none" w:sz="0" w:space="0" w:color="auto"/>
      </w:divBdr>
    </w:div>
    <w:div w:id="608203982">
      <w:bodyDiv w:val="1"/>
      <w:marLeft w:val="0"/>
      <w:marRight w:val="0"/>
      <w:marTop w:val="0"/>
      <w:marBottom w:val="0"/>
      <w:divBdr>
        <w:top w:val="none" w:sz="0" w:space="0" w:color="auto"/>
        <w:left w:val="none" w:sz="0" w:space="0" w:color="auto"/>
        <w:bottom w:val="none" w:sz="0" w:space="0" w:color="auto"/>
        <w:right w:val="none" w:sz="0" w:space="0" w:color="auto"/>
      </w:divBdr>
    </w:div>
    <w:div w:id="647979577">
      <w:bodyDiv w:val="1"/>
      <w:marLeft w:val="0"/>
      <w:marRight w:val="0"/>
      <w:marTop w:val="0"/>
      <w:marBottom w:val="0"/>
      <w:divBdr>
        <w:top w:val="none" w:sz="0" w:space="0" w:color="auto"/>
        <w:left w:val="none" w:sz="0" w:space="0" w:color="auto"/>
        <w:bottom w:val="none" w:sz="0" w:space="0" w:color="auto"/>
        <w:right w:val="none" w:sz="0" w:space="0" w:color="auto"/>
      </w:divBdr>
    </w:div>
    <w:div w:id="686643313">
      <w:bodyDiv w:val="1"/>
      <w:marLeft w:val="0"/>
      <w:marRight w:val="0"/>
      <w:marTop w:val="0"/>
      <w:marBottom w:val="0"/>
      <w:divBdr>
        <w:top w:val="none" w:sz="0" w:space="0" w:color="auto"/>
        <w:left w:val="none" w:sz="0" w:space="0" w:color="auto"/>
        <w:bottom w:val="none" w:sz="0" w:space="0" w:color="auto"/>
        <w:right w:val="none" w:sz="0" w:space="0" w:color="auto"/>
      </w:divBdr>
    </w:div>
    <w:div w:id="754864468">
      <w:bodyDiv w:val="1"/>
      <w:marLeft w:val="0"/>
      <w:marRight w:val="0"/>
      <w:marTop w:val="0"/>
      <w:marBottom w:val="0"/>
      <w:divBdr>
        <w:top w:val="none" w:sz="0" w:space="0" w:color="auto"/>
        <w:left w:val="none" w:sz="0" w:space="0" w:color="auto"/>
        <w:bottom w:val="none" w:sz="0" w:space="0" w:color="auto"/>
        <w:right w:val="none" w:sz="0" w:space="0" w:color="auto"/>
      </w:divBdr>
    </w:div>
    <w:div w:id="795101227">
      <w:bodyDiv w:val="1"/>
      <w:marLeft w:val="0"/>
      <w:marRight w:val="0"/>
      <w:marTop w:val="0"/>
      <w:marBottom w:val="0"/>
      <w:divBdr>
        <w:top w:val="none" w:sz="0" w:space="0" w:color="auto"/>
        <w:left w:val="none" w:sz="0" w:space="0" w:color="auto"/>
        <w:bottom w:val="none" w:sz="0" w:space="0" w:color="auto"/>
        <w:right w:val="none" w:sz="0" w:space="0" w:color="auto"/>
      </w:divBdr>
    </w:div>
    <w:div w:id="824130400">
      <w:bodyDiv w:val="1"/>
      <w:marLeft w:val="0"/>
      <w:marRight w:val="0"/>
      <w:marTop w:val="0"/>
      <w:marBottom w:val="0"/>
      <w:divBdr>
        <w:top w:val="none" w:sz="0" w:space="0" w:color="auto"/>
        <w:left w:val="none" w:sz="0" w:space="0" w:color="auto"/>
        <w:bottom w:val="none" w:sz="0" w:space="0" w:color="auto"/>
        <w:right w:val="none" w:sz="0" w:space="0" w:color="auto"/>
      </w:divBdr>
    </w:div>
    <w:div w:id="855654535">
      <w:bodyDiv w:val="1"/>
      <w:marLeft w:val="0"/>
      <w:marRight w:val="0"/>
      <w:marTop w:val="0"/>
      <w:marBottom w:val="0"/>
      <w:divBdr>
        <w:top w:val="none" w:sz="0" w:space="0" w:color="auto"/>
        <w:left w:val="none" w:sz="0" w:space="0" w:color="auto"/>
        <w:bottom w:val="none" w:sz="0" w:space="0" w:color="auto"/>
        <w:right w:val="none" w:sz="0" w:space="0" w:color="auto"/>
      </w:divBdr>
    </w:div>
    <w:div w:id="864438091">
      <w:bodyDiv w:val="1"/>
      <w:marLeft w:val="0"/>
      <w:marRight w:val="0"/>
      <w:marTop w:val="0"/>
      <w:marBottom w:val="0"/>
      <w:divBdr>
        <w:top w:val="none" w:sz="0" w:space="0" w:color="auto"/>
        <w:left w:val="none" w:sz="0" w:space="0" w:color="auto"/>
        <w:bottom w:val="none" w:sz="0" w:space="0" w:color="auto"/>
        <w:right w:val="none" w:sz="0" w:space="0" w:color="auto"/>
      </w:divBdr>
      <w:divsChild>
        <w:div w:id="1362822182">
          <w:marLeft w:val="547"/>
          <w:marRight w:val="0"/>
          <w:marTop w:val="154"/>
          <w:marBottom w:val="0"/>
          <w:divBdr>
            <w:top w:val="none" w:sz="0" w:space="0" w:color="auto"/>
            <w:left w:val="none" w:sz="0" w:space="0" w:color="auto"/>
            <w:bottom w:val="none" w:sz="0" w:space="0" w:color="auto"/>
            <w:right w:val="none" w:sz="0" w:space="0" w:color="auto"/>
          </w:divBdr>
        </w:div>
        <w:div w:id="720832593">
          <w:marLeft w:val="547"/>
          <w:marRight w:val="0"/>
          <w:marTop w:val="154"/>
          <w:marBottom w:val="0"/>
          <w:divBdr>
            <w:top w:val="none" w:sz="0" w:space="0" w:color="auto"/>
            <w:left w:val="none" w:sz="0" w:space="0" w:color="auto"/>
            <w:bottom w:val="none" w:sz="0" w:space="0" w:color="auto"/>
            <w:right w:val="none" w:sz="0" w:space="0" w:color="auto"/>
          </w:divBdr>
        </w:div>
        <w:div w:id="685330792">
          <w:marLeft w:val="547"/>
          <w:marRight w:val="0"/>
          <w:marTop w:val="154"/>
          <w:marBottom w:val="0"/>
          <w:divBdr>
            <w:top w:val="none" w:sz="0" w:space="0" w:color="auto"/>
            <w:left w:val="none" w:sz="0" w:space="0" w:color="auto"/>
            <w:bottom w:val="none" w:sz="0" w:space="0" w:color="auto"/>
            <w:right w:val="none" w:sz="0" w:space="0" w:color="auto"/>
          </w:divBdr>
        </w:div>
      </w:divsChild>
    </w:div>
    <w:div w:id="868183706">
      <w:bodyDiv w:val="1"/>
      <w:marLeft w:val="0"/>
      <w:marRight w:val="0"/>
      <w:marTop w:val="0"/>
      <w:marBottom w:val="0"/>
      <w:divBdr>
        <w:top w:val="none" w:sz="0" w:space="0" w:color="auto"/>
        <w:left w:val="none" w:sz="0" w:space="0" w:color="auto"/>
        <w:bottom w:val="none" w:sz="0" w:space="0" w:color="auto"/>
        <w:right w:val="none" w:sz="0" w:space="0" w:color="auto"/>
      </w:divBdr>
    </w:div>
    <w:div w:id="874272197">
      <w:bodyDiv w:val="1"/>
      <w:marLeft w:val="0"/>
      <w:marRight w:val="0"/>
      <w:marTop w:val="0"/>
      <w:marBottom w:val="0"/>
      <w:divBdr>
        <w:top w:val="none" w:sz="0" w:space="0" w:color="auto"/>
        <w:left w:val="none" w:sz="0" w:space="0" w:color="auto"/>
        <w:bottom w:val="none" w:sz="0" w:space="0" w:color="auto"/>
        <w:right w:val="none" w:sz="0" w:space="0" w:color="auto"/>
      </w:divBdr>
    </w:div>
    <w:div w:id="913586450">
      <w:bodyDiv w:val="1"/>
      <w:marLeft w:val="0"/>
      <w:marRight w:val="0"/>
      <w:marTop w:val="0"/>
      <w:marBottom w:val="0"/>
      <w:divBdr>
        <w:top w:val="none" w:sz="0" w:space="0" w:color="auto"/>
        <w:left w:val="none" w:sz="0" w:space="0" w:color="auto"/>
        <w:bottom w:val="none" w:sz="0" w:space="0" w:color="auto"/>
        <w:right w:val="none" w:sz="0" w:space="0" w:color="auto"/>
      </w:divBdr>
    </w:div>
    <w:div w:id="945187290">
      <w:bodyDiv w:val="1"/>
      <w:marLeft w:val="0"/>
      <w:marRight w:val="0"/>
      <w:marTop w:val="0"/>
      <w:marBottom w:val="0"/>
      <w:divBdr>
        <w:top w:val="none" w:sz="0" w:space="0" w:color="auto"/>
        <w:left w:val="none" w:sz="0" w:space="0" w:color="auto"/>
        <w:bottom w:val="none" w:sz="0" w:space="0" w:color="auto"/>
        <w:right w:val="none" w:sz="0" w:space="0" w:color="auto"/>
      </w:divBdr>
    </w:div>
    <w:div w:id="951090309">
      <w:bodyDiv w:val="1"/>
      <w:marLeft w:val="0"/>
      <w:marRight w:val="0"/>
      <w:marTop w:val="0"/>
      <w:marBottom w:val="0"/>
      <w:divBdr>
        <w:top w:val="none" w:sz="0" w:space="0" w:color="auto"/>
        <w:left w:val="none" w:sz="0" w:space="0" w:color="auto"/>
        <w:bottom w:val="none" w:sz="0" w:space="0" w:color="auto"/>
        <w:right w:val="none" w:sz="0" w:space="0" w:color="auto"/>
      </w:divBdr>
    </w:div>
    <w:div w:id="959192005">
      <w:bodyDiv w:val="1"/>
      <w:marLeft w:val="0"/>
      <w:marRight w:val="0"/>
      <w:marTop w:val="0"/>
      <w:marBottom w:val="0"/>
      <w:divBdr>
        <w:top w:val="none" w:sz="0" w:space="0" w:color="auto"/>
        <w:left w:val="none" w:sz="0" w:space="0" w:color="auto"/>
        <w:bottom w:val="none" w:sz="0" w:space="0" w:color="auto"/>
        <w:right w:val="none" w:sz="0" w:space="0" w:color="auto"/>
      </w:divBdr>
    </w:div>
    <w:div w:id="1088772927">
      <w:bodyDiv w:val="1"/>
      <w:marLeft w:val="0"/>
      <w:marRight w:val="0"/>
      <w:marTop w:val="0"/>
      <w:marBottom w:val="0"/>
      <w:divBdr>
        <w:top w:val="none" w:sz="0" w:space="0" w:color="auto"/>
        <w:left w:val="none" w:sz="0" w:space="0" w:color="auto"/>
        <w:bottom w:val="none" w:sz="0" w:space="0" w:color="auto"/>
        <w:right w:val="none" w:sz="0" w:space="0" w:color="auto"/>
      </w:divBdr>
    </w:div>
    <w:div w:id="1143155289">
      <w:bodyDiv w:val="1"/>
      <w:marLeft w:val="0"/>
      <w:marRight w:val="0"/>
      <w:marTop w:val="0"/>
      <w:marBottom w:val="0"/>
      <w:divBdr>
        <w:top w:val="none" w:sz="0" w:space="0" w:color="auto"/>
        <w:left w:val="none" w:sz="0" w:space="0" w:color="auto"/>
        <w:bottom w:val="none" w:sz="0" w:space="0" w:color="auto"/>
        <w:right w:val="none" w:sz="0" w:space="0" w:color="auto"/>
      </w:divBdr>
    </w:div>
    <w:div w:id="1151101515">
      <w:bodyDiv w:val="1"/>
      <w:marLeft w:val="0"/>
      <w:marRight w:val="0"/>
      <w:marTop w:val="0"/>
      <w:marBottom w:val="0"/>
      <w:divBdr>
        <w:top w:val="none" w:sz="0" w:space="0" w:color="auto"/>
        <w:left w:val="none" w:sz="0" w:space="0" w:color="auto"/>
        <w:bottom w:val="none" w:sz="0" w:space="0" w:color="auto"/>
        <w:right w:val="none" w:sz="0" w:space="0" w:color="auto"/>
      </w:divBdr>
    </w:div>
    <w:div w:id="1152061549">
      <w:bodyDiv w:val="1"/>
      <w:marLeft w:val="0"/>
      <w:marRight w:val="0"/>
      <w:marTop w:val="0"/>
      <w:marBottom w:val="0"/>
      <w:divBdr>
        <w:top w:val="none" w:sz="0" w:space="0" w:color="auto"/>
        <w:left w:val="none" w:sz="0" w:space="0" w:color="auto"/>
        <w:bottom w:val="none" w:sz="0" w:space="0" w:color="auto"/>
        <w:right w:val="none" w:sz="0" w:space="0" w:color="auto"/>
      </w:divBdr>
    </w:div>
    <w:div w:id="1152218485">
      <w:bodyDiv w:val="1"/>
      <w:marLeft w:val="0"/>
      <w:marRight w:val="0"/>
      <w:marTop w:val="0"/>
      <w:marBottom w:val="0"/>
      <w:divBdr>
        <w:top w:val="none" w:sz="0" w:space="0" w:color="auto"/>
        <w:left w:val="none" w:sz="0" w:space="0" w:color="auto"/>
        <w:bottom w:val="none" w:sz="0" w:space="0" w:color="auto"/>
        <w:right w:val="none" w:sz="0" w:space="0" w:color="auto"/>
      </w:divBdr>
    </w:div>
    <w:div w:id="1172337273">
      <w:bodyDiv w:val="1"/>
      <w:marLeft w:val="0"/>
      <w:marRight w:val="0"/>
      <w:marTop w:val="0"/>
      <w:marBottom w:val="0"/>
      <w:divBdr>
        <w:top w:val="none" w:sz="0" w:space="0" w:color="auto"/>
        <w:left w:val="none" w:sz="0" w:space="0" w:color="auto"/>
        <w:bottom w:val="none" w:sz="0" w:space="0" w:color="auto"/>
        <w:right w:val="none" w:sz="0" w:space="0" w:color="auto"/>
      </w:divBdr>
      <w:divsChild>
        <w:div w:id="1688435655">
          <w:marLeft w:val="547"/>
          <w:marRight w:val="0"/>
          <w:marTop w:val="134"/>
          <w:marBottom w:val="0"/>
          <w:divBdr>
            <w:top w:val="none" w:sz="0" w:space="0" w:color="auto"/>
            <w:left w:val="none" w:sz="0" w:space="0" w:color="auto"/>
            <w:bottom w:val="none" w:sz="0" w:space="0" w:color="auto"/>
            <w:right w:val="none" w:sz="0" w:space="0" w:color="auto"/>
          </w:divBdr>
        </w:div>
        <w:div w:id="568274585">
          <w:marLeft w:val="547"/>
          <w:marRight w:val="0"/>
          <w:marTop w:val="134"/>
          <w:marBottom w:val="0"/>
          <w:divBdr>
            <w:top w:val="none" w:sz="0" w:space="0" w:color="auto"/>
            <w:left w:val="none" w:sz="0" w:space="0" w:color="auto"/>
            <w:bottom w:val="none" w:sz="0" w:space="0" w:color="auto"/>
            <w:right w:val="none" w:sz="0" w:space="0" w:color="auto"/>
          </w:divBdr>
        </w:div>
        <w:div w:id="967853997">
          <w:marLeft w:val="547"/>
          <w:marRight w:val="0"/>
          <w:marTop w:val="134"/>
          <w:marBottom w:val="0"/>
          <w:divBdr>
            <w:top w:val="none" w:sz="0" w:space="0" w:color="auto"/>
            <w:left w:val="none" w:sz="0" w:space="0" w:color="auto"/>
            <w:bottom w:val="none" w:sz="0" w:space="0" w:color="auto"/>
            <w:right w:val="none" w:sz="0" w:space="0" w:color="auto"/>
          </w:divBdr>
        </w:div>
        <w:div w:id="1572351526">
          <w:marLeft w:val="1166"/>
          <w:marRight w:val="0"/>
          <w:marTop w:val="115"/>
          <w:marBottom w:val="0"/>
          <w:divBdr>
            <w:top w:val="none" w:sz="0" w:space="0" w:color="auto"/>
            <w:left w:val="none" w:sz="0" w:space="0" w:color="auto"/>
            <w:bottom w:val="none" w:sz="0" w:space="0" w:color="auto"/>
            <w:right w:val="none" w:sz="0" w:space="0" w:color="auto"/>
          </w:divBdr>
        </w:div>
        <w:div w:id="1870297775">
          <w:marLeft w:val="1166"/>
          <w:marRight w:val="0"/>
          <w:marTop w:val="115"/>
          <w:marBottom w:val="0"/>
          <w:divBdr>
            <w:top w:val="none" w:sz="0" w:space="0" w:color="auto"/>
            <w:left w:val="none" w:sz="0" w:space="0" w:color="auto"/>
            <w:bottom w:val="none" w:sz="0" w:space="0" w:color="auto"/>
            <w:right w:val="none" w:sz="0" w:space="0" w:color="auto"/>
          </w:divBdr>
        </w:div>
        <w:div w:id="858547185">
          <w:marLeft w:val="1166"/>
          <w:marRight w:val="0"/>
          <w:marTop w:val="115"/>
          <w:marBottom w:val="0"/>
          <w:divBdr>
            <w:top w:val="none" w:sz="0" w:space="0" w:color="auto"/>
            <w:left w:val="none" w:sz="0" w:space="0" w:color="auto"/>
            <w:bottom w:val="none" w:sz="0" w:space="0" w:color="auto"/>
            <w:right w:val="none" w:sz="0" w:space="0" w:color="auto"/>
          </w:divBdr>
        </w:div>
      </w:divsChild>
    </w:div>
    <w:div w:id="1174538508">
      <w:bodyDiv w:val="1"/>
      <w:marLeft w:val="0"/>
      <w:marRight w:val="0"/>
      <w:marTop w:val="0"/>
      <w:marBottom w:val="0"/>
      <w:divBdr>
        <w:top w:val="none" w:sz="0" w:space="0" w:color="auto"/>
        <w:left w:val="none" w:sz="0" w:space="0" w:color="auto"/>
        <w:bottom w:val="none" w:sz="0" w:space="0" w:color="auto"/>
        <w:right w:val="none" w:sz="0" w:space="0" w:color="auto"/>
      </w:divBdr>
    </w:div>
    <w:div w:id="1226603065">
      <w:bodyDiv w:val="1"/>
      <w:marLeft w:val="0"/>
      <w:marRight w:val="0"/>
      <w:marTop w:val="0"/>
      <w:marBottom w:val="0"/>
      <w:divBdr>
        <w:top w:val="none" w:sz="0" w:space="0" w:color="auto"/>
        <w:left w:val="none" w:sz="0" w:space="0" w:color="auto"/>
        <w:bottom w:val="none" w:sz="0" w:space="0" w:color="auto"/>
        <w:right w:val="none" w:sz="0" w:space="0" w:color="auto"/>
      </w:divBdr>
    </w:div>
    <w:div w:id="1258250305">
      <w:bodyDiv w:val="1"/>
      <w:marLeft w:val="0"/>
      <w:marRight w:val="0"/>
      <w:marTop w:val="0"/>
      <w:marBottom w:val="0"/>
      <w:divBdr>
        <w:top w:val="none" w:sz="0" w:space="0" w:color="auto"/>
        <w:left w:val="none" w:sz="0" w:space="0" w:color="auto"/>
        <w:bottom w:val="none" w:sz="0" w:space="0" w:color="auto"/>
        <w:right w:val="none" w:sz="0" w:space="0" w:color="auto"/>
      </w:divBdr>
    </w:div>
    <w:div w:id="1334455565">
      <w:bodyDiv w:val="1"/>
      <w:marLeft w:val="0"/>
      <w:marRight w:val="0"/>
      <w:marTop w:val="0"/>
      <w:marBottom w:val="0"/>
      <w:divBdr>
        <w:top w:val="none" w:sz="0" w:space="0" w:color="auto"/>
        <w:left w:val="none" w:sz="0" w:space="0" w:color="auto"/>
        <w:bottom w:val="none" w:sz="0" w:space="0" w:color="auto"/>
        <w:right w:val="none" w:sz="0" w:space="0" w:color="auto"/>
      </w:divBdr>
      <w:divsChild>
        <w:div w:id="1608731100">
          <w:marLeft w:val="547"/>
          <w:marRight w:val="0"/>
          <w:marTop w:val="115"/>
          <w:marBottom w:val="0"/>
          <w:divBdr>
            <w:top w:val="none" w:sz="0" w:space="0" w:color="auto"/>
            <w:left w:val="none" w:sz="0" w:space="0" w:color="auto"/>
            <w:bottom w:val="none" w:sz="0" w:space="0" w:color="auto"/>
            <w:right w:val="none" w:sz="0" w:space="0" w:color="auto"/>
          </w:divBdr>
        </w:div>
        <w:div w:id="574515171">
          <w:marLeft w:val="547"/>
          <w:marRight w:val="0"/>
          <w:marTop w:val="115"/>
          <w:marBottom w:val="0"/>
          <w:divBdr>
            <w:top w:val="none" w:sz="0" w:space="0" w:color="auto"/>
            <w:left w:val="none" w:sz="0" w:space="0" w:color="auto"/>
            <w:bottom w:val="none" w:sz="0" w:space="0" w:color="auto"/>
            <w:right w:val="none" w:sz="0" w:space="0" w:color="auto"/>
          </w:divBdr>
        </w:div>
        <w:div w:id="438643756">
          <w:marLeft w:val="547"/>
          <w:marRight w:val="0"/>
          <w:marTop w:val="115"/>
          <w:marBottom w:val="0"/>
          <w:divBdr>
            <w:top w:val="none" w:sz="0" w:space="0" w:color="auto"/>
            <w:left w:val="none" w:sz="0" w:space="0" w:color="auto"/>
            <w:bottom w:val="none" w:sz="0" w:space="0" w:color="auto"/>
            <w:right w:val="none" w:sz="0" w:space="0" w:color="auto"/>
          </w:divBdr>
        </w:div>
        <w:div w:id="802114495">
          <w:marLeft w:val="547"/>
          <w:marRight w:val="0"/>
          <w:marTop w:val="115"/>
          <w:marBottom w:val="0"/>
          <w:divBdr>
            <w:top w:val="none" w:sz="0" w:space="0" w:color="auto"/>
            <w:left w:val="none" w:sz="0" w:space="0" w:color="auto"/>
            <w:bottom w:val="none" w:sz="0" w:space="0" w:color="auto"/>
            <w:right w:val="none" w:sz="0" w:space="0" w:color="auto"/>
          </w:divBdr>
        </w:div>
        <w:div w:id="220481507">
          <w:marLeft w:val="547"/>
          <w:marRight w:val="0"/>
          <w:marTop w:val="115"/>
          <w:marBottom w:val="0"/>
          <w:divBdr>
            <w:top w:val="none" w:sz="0" w:space="0" w:color="auto"/>
            <w:left w:val="none" w:sz="0" w:space="0" w:color="auto"/>
            <w:bottom w:val="none" w:sz="0" w:space="0" w:color="auto"/>
            <w:right w:val="none" w:sz="0" w:space="0" w:color="auto"/>
          </w:divBdr>
        </w:div>
        <w:div w:id="2127111943">
          <w:marLeft w:val="547"/>
          <w:marRight w:val="0"/>
          <w:marTop w:val="115"/>
          <w:marBottom w:val="0"/>
          <w:divBdr>
            <w:top w:val="none" w:sz="0" w:space="0" w:color="auto"/>
            <w:left w:val="none" w:sz="0" w:space="0" w:color="auto"/>
            <w:bottom w:val="none" w:sz="0" w:space="0" w:color="auto"/>
            <w:right w:val="none" w:sz="0" w:space="0" w:color="auto"/>
          </w:divBdr>
        </w:div>
      </w:divsChild>
    </w:div>
    <w:div w:id="1348672334">
      <w:bodyDiv w:val="1"/>
      <w:marLeft w:val="0"/>
      <w:marRight w:val="0"/>
      <w:marTop w:val="0"/>
      <w:marBottom w:val="0"/>
      <w:divBdr>
        <w:top w:val="none" w:sz="0" w:space="0" w:color="auto"/>
        <w:left w:val="none" w:sz="0" w:space="0" w:color="auto"/>
        <w:bottom w:val="none" w:sz="0" w:space="0" w:color="auto"/>
        <w:right w:val="none" w:sz="0" w:space="0" w:color="auto"/>
      </w:divBdr>
      <w:divsChild>
        <w:div w:id="754207104">
          <w:marLeft w:val="547"/>
          <w:marRight w:val="0"/>
          <w:marTop w:val="96"/>
          <w:marBottom w:val="0"/>
          <w:divBdr>
            <w:top w:val="none" w:sz="0" w:space="0" w:color="auto"/>
            <w:left w:val="none" w:sz="0" w:space="0" w:color="auto"/>
            <w:bottom w:val="none" w:sz="0" w:space="0" w:color="auto"/>
            <w:right w:val="none" w:sz="0" w:space="0" w:color="auto"/>
          </w:divBdr>
        </w:div>
        <w:div w:id="1473714074">
          <w:marLeft w:val="547"/>
          <w:marRight w:val="0"/>
          <w:marTop w:val="96"/>
          <w:marBottom w:val="0"/>
          <w:divBdr>
            <w:top w:val="none" w:sz="0" w:space="0" w:color="auto"/>
            <w:left w:val="none" w:sz="0" w:space="0" w:color="auto"/>
            <w:bottom w:val="none" w:sz="0" w:space="0" w:color="auto"/>
            <w:right w:val="none" w:sz="0" w:space="0" w:color="auto"/>
          </w:divBdr>
        </w:div>
        <w:div w:id="59209082">
          <w:marLeft w:val="547"/>
          <w:marRight w:val="0"/>
          <w:marTop w:val="96"/>
          <w:marBottom w:val="0"/>
          <w:divBdr>
            <w:top w:val="none" w:sz="0" w:space="0" w:color="auto"/>
            <w:left w:val="none" w:sz="0" w:space="0" w:color="auto"/>
            <w:bottom w:val="none" w:sz="0" w:space="0" w:color="auto"/>
            <w:right w:val="none" w:sz="0" w:space="0" w:color="auto"/>
          </w:divBdr>
        </w:div>
        <w:div w:id="8796354">
          <w:marLeft w:val="547"/>
          <w:marRight w:val="0"/>
          <w:marTop w:val="96"/>
          <w:marBottom w:val="0"/>
          <w:divBdr>
            <w:top w:val="none" w:sz="0" w:space="0" w:color="auto"/>
            <w:left w:val="none" w:sz="0" w:space="0" w:color="auto"/>
            <w:bottom w:val="none" w:sz="0" w:space="0" w:color="auto"/>
            <w:right w:val="none" w:sz="0" w:space="0" w:color="auto"/>
          </w:divBdr>
        </w:div>
        <w:div w:id="66192807">
          <w:marLeft w:val="547"/>
          <w:marRight w:val="0"/>
          <w:marTop w:val="96"/>
          <w:marBottom w:val="0"/>
          <w:divBdr>
            <w:top w:val="none" w:sz="0" w:space="0" w:color="auto"/>
            <w:left w:val="none" w:sz="0" w:space="0" w:color="auto"/>
            <w:bottom w:val="none" w:sz="0" w:space="0" w:color="auto"/>
            <w:right w:val="none" w:sz="0" w:space="0" w:color="auto"/>
          </w:divBdr>
        </w:div>
      </w:divsChild>
    </w:div>
    <w:div w:id="1371153139">
      <w:bodyDiv w:val="1"/>
      <w:marLeft w:val="0"/>
      <w:marRight w:val="0"/>
      <w:marTop w:val="0"/>
      <w:marBottom w:val="0"/>
      <w:divBdr>
        <w:top w:val="none" w:sz="0" w:space="0" w:color="auto"/>
        <w:left w:val="none" w:sz="0" w:space="0" w:color="auto"/>
        <w:bottom w:val="none" w:sz="0" w:space="0" w:color="auto"/>
        <w:right w:val="none" w:sz="0" w:space="0" w:color="auto"/>
      </w:divBdr>
    </w:div>
    <w:div w:id="1377702929">
      <w:bodyDiv w:val="1"/>
      <w:marLeft w:val="0"/>
      <w:marRight w:val="0"/>
      <w:marTop w:val="0"/>
      <w:marBottom w:val="0"/>
      <w:divBdr>
        <w:top w:val="none" w:sz="0" w:space="0" w:color="auto"/>
        <w:left w:val="none" w:sz="0" w:space="0" w:color="auto"/>
        <w:bottom w:val="none" w:sz="0" w:space="0" w:color="auto"/>
        <w:right w:val="none" w:sz="0" w:space="0" w:color="auto"/>
      </w:divBdr>
    </w:div>
    <w:div w:id="1403793951">
      <w:bodyDiv w:val="1"/>
      <w:marLeft w:val="0"/>
      <w:marRight w:val="0"/>
      <w:marTop w:val="0"/>
      <w:marBottom w:val="0"/>
      <w:divBdr>
        <w:top w:val="none" w:sz="0" w:space="0" w:color="auto"/>
        <w:left w:val="none" w:sz="0" w:space="0" w:color="auto"/>
        <w:bottom w:val="none" w:sz="0" w:space="0" w:color="auto"/>
        <w:right w:val="none" w:sz="0" w:space="0" w:color="auto"/>
      </w:divBdr>
    </w:div>
    <w:div w:id="1426339091">
      <w:bodyDiv w:val="1"/>
      <w:marLeft w:val="0"/>
      <w:marRight w:val="0"/>
      <w:marTop w:val="0"/>
      <w:marBottom w:val="0"/>
      <w:divBdr>
        <w:top w:val="none" w:sz="0" w:space="0" w:color="auto"/>
        <w:left w:val="none" w:sz="0" w:space="0" w:color="auto"/>
        <w:bottom w:val="none" w:sz="0" w:space="0" w:color="auto"/>
        <w:right w:val="none" w:sz="0" w:space="0" w:color="auto"/>
      </w:divBdr>
    </w:div>
    <w:div w:id="1484657863">
      <w:bodyDiv w:val="1"/>
      <w:marLeft w:val="0"/>
      <w:marRight w:val="0"/>
      <w:marTop w:val="0"/>
      <w:marBottom w:val="0"/>
      <w:divBdr>
        <w:top w:val="none" w:sz="0" w:space="0" w:color="auto"/>
        <w:left w:val="none" w:sz="0" w:space="0" w:color="auto"/>
        <w:bottom w:val="none" w:sz="0" w:space="0" w:color="auto"/>
        <w:right w:val="none" w:sz="0" w:space="0" w:color="auto"/>
      </w:divBdr>
    </w:div>
    <w:div w:id="1594048299">
      <w:bodyDiv w:val="1"/>
      <w:marLeft w:val="0"/>
      <w:marRight w:val="0"/>
      <w:marTop w:val="0"/>
      <w:marBottom w:val="0"/>
      <w:divBdr>
        <w:top w:val="none" w:sz="0" w:space="0" w:color="auto"/>
        <w:left w:val="none" w:sz="0" w:space="0" w:color="auto"/>
        <w:bottom w:val="none" w:sz="0" w:space="0" w:color="auto"/>
        <w:right w:val="none" w:sz="0" w:space="0" w:color="auto"/>
      </w:divBdr>
    </w:div>
    <w:div w:id="1637105136">
      <w:bodyDiv w:val="1"/>
      <w:marLeft w:val="0"/>
      <w:marRight w:val="0"/>
      <w:marTop w:val="0"/>
      <w:marBottom w:val="0"/>
      <w:divBdr>
        <w:top w:val="none" w:sz="0" w:space="0" w:color="auto"/>
        <w:left w:val="none" w:sz="0" w:space="0" w:color="auto"/>
        <w:bottom w:val="none" w:sz="0" w:space="0" w:color="auto"/>
        <w:right w:val="none" w:sz="0" w:space="0" w:color="auto"/>
      </w:divBdr>
    </w:div>
    <w:div w:id="1692760250">
      <w:bodyDiv w:val="1"/>
      <w:marLeft w:val="0"/>
      <w:marRight w:val="0"/>
      <w:marTop w:val="0"/>
      <w:marBottom w:val="0"/>
      <w:divBdr>
        <w:top w:val="none" w:sz="0" w:space="0" w:color="auto"/>
        <w:left w:val="none" w:sz="0" w:space="0" w:color="auto"/>
        <w:bottom w:val="none" w:sz="0" w:space="0" w:color="auto"/>
        <w:right w:val="none" w:sz="0" w:space="0" w:color="auto"/>
      </w:divBdr>
    </w:div>
    <w:div w:id="1717192999">
      <w:bodyDiv w:val="1"/>
      <w:marLeft w:val="0"/>
      <w:marRight w:val="0"/>
      <w:marTop w:val="0"/>
      <w:marBottom w:val="0"/>
      <w:divBdr>
        <w:top w:val="none" w:sz="0" w:space="0" w:color="auto"/>
        <w:left w:val="none" w:sz="0" w:space="0" w:color="auto"/>
        <w:bottom w:val="none" w:sz="0" w:space="0" w:color="auto"/>
        <w:right w:val="none" w:sz="0" w:space="0" w:color="auto"/>
      </w:divBdr>
    </w:div>
    <w:div w:id="1746612469">
      <w:bodyDiv w:val="1"/>
      <w:marLeft w:val="0"/>
      <w:marRight w:val="0"/>
      <w:marTop w:val="0"/>
      <w:marBottom w:val="0"/>
      <w:divBdr>
        <w:top w:val="none" w:sz="0" w:space="0" w:color="auto"/>
        <w:left w:val="none" w:sz="0" w:space="0" w:color="auto"/>
        <w:bottom w:val="none" w:sz="0" w:space="0" w:color="auto"/>
        <w:right w:val="none" w:sz="0" w:space="0" w:color="auto"/>
      </w:divBdr>
    </w:div>
    <w:div w:id="1775057998">
      <w:bodyDiv w:val="1"/>
      <w:marLeft w:val="0"/>
      <w:marRight w:val="0"/>
      <w:marTop w:val="0"/>
      <w:marBottom w:val="0"/>
      <w:divBdr>
        <w:top w:val="none" w:sz="0" w:space="0" w:color="auto"/>
        <w:left w:val="none" w:sz="0" w:space="0" w:color="auto"/>
        <w:bottom w:val="none" w:sz="0" w:space="0" w:color="auto"/>
        <w:right w:val="none" w:sz="0" w:space="0" w:color="auto"/>
      </w:divBdr>
    </w:div>
    <w:div w:id="1851017428">
      <w:bodyDiv w:val="1"/>
      <w:marLeft w:val="0"/>
      <w:marRight w:val="0"/>
      <w:marTop w:val="0"/>
      <w:marBottom w:val="0"/>
      <w:divBdr>
        <w:top w:val="none" w:sz="0" w:space="0" w:color="auto"/>
        <w:left w:val="none" w:sz="0" w:space="0" w:color="auto"/>
        <w:bottom w:val="none" w:sz="0" w:space="0" w:color="auto"/>
        <w:right w:val="none" w:sz="0" w:space="0" w:color="auto"/>
      </w:divBdr>
    </w:div>
    <w:div w:id="1855148950">
      <w:bodyDiv w:val="1"/>
      <w:marLeft w:val="0"/>
      <w:marRight w:val="0"/>
      <w:marTop w:val="0"/>
      <w:marBottom w:val="0"/>
      <w:divBdr>
        <w:top w:val="none" w:sz="0" w:space="0" w:color="auto"/>
        <w:left w:val="none" w:sz="0" w:space="0" w:color="auto"/>
        <w:bottom w:val="none" w:sz="0" w:space="0" w:color="auto"/>
        <w:right w:val="none" w:sz="0" w:space="0" w:color="auto"/>
      </w:divBdr>
    </w:div>
    <w:div w:id="1865442060">
      <w:bodyDiv w:val="1"/>
      <w:marLeft w:val="0"/>
      <w:marRight w:val="0"/>
      <w:marTop w:val="0"/>
      <w:marBottom w:val="0"/>
      <w:divBdr>
        <w:top w:val="none" w:sz="0" w:space="0" w:color="auto"/>
        <w:left w:val="none" w:sz="0" w:space="0" w:color="auto"/>
        <w:bottom w:val="none" w:sz="0" w:space="0" w:color="auto"/>
        <w:right w:val="none" w:sz="0" w:space="0" w:color="auto"/>
      </w:divBdr>
    </w:div>
    <w:div w:id="1895964916">
      <w:bodyDiv w:val="1"/>
      <w:marLeft w:val="0"/>
      <w:marRight w:val="0"/>
      <w:marTop w:val="0"/>
      <w:marBottom w:val="0"/>
      <w:divBdr>
        <w:top w:val="none" w:sz="0" w:space="0" w:color="auto"/>
        <w:left w:val="none" w:sz="0" w:space="0" w:color="auto"/>
        <w:bottom w:val="none" w:sz="0" w:space="0" w:color="auto"/>
        <w:right w:val="none" w:sz="0" w:space="0" w:color="auto"/>
      </w:divBdr>
    </w:div>
    <w:div w:id="1931624713">
      <w:bodyDiv w:val="1"/>
      <w:marLeft w:val="0"/>
      <w:marRight w:val="0"/>
      <w:marTop w:val="0"/>
      <w:marBottom w:val="0"/>
      <w:divBdr>
        <w:top w:val="none" w:sz="0" w:space="0" w:color="auto"/>
        <w:left w:val="none" w:sz="0" w:space="0" w:color="auto"/>
        <w:bottom w:val="none" w:sz="0" w:space="0" w:color="auto"/>
        <w:right w:val="none" w:sz="0" w:space="0" w:color="auto"/>
      </w:divBdr>
    </w:div>
    <w:div w:id="1959877075">
      <w:bodyDiv w:val="1"/>
      <w:marLeft w:val="0"/>
      <w:marRight w:val="0"/>
      <w:marTop w:val="0"/>
      <w:marBottom w:val="0"/>
      <w:divBdr>
        <w:top w:val="none" w:sz="0" w:space="0" w:color="auto"/>
        <w:left w:val="none" w:sz="0" w:space="0" w:color="auto"/>
        <w:bottom w:val="none" w:sz="0" w:space="0" w:color="auto"/>
        <w:right w:val="none" w:sz="0" w:space="0" w:color="auto"/>
      </w:divBdr>
      <w:divsChild>
        <w:div w:id="712077874">
          <w:marLeft w:val="547"/>
          <w:marRight w:val="0"/>
          <w:marTop w:val="154"/>
          <w:marBottom w:val="0"/>
          <w:divBdr>
            <w:top w:val="none" w:sz="0" w:space="0" w:color="auto"/>
            <w:left w:val="none" w:sz="0" w:space="0" w:color="auto"/>
            <w:bottom w:val="none" w:sz="0" w:space="0" w:color="auto"/>
            <w:right w:val="none" w:sz="0" w:space="0" w:color="auto"/>
          </w:divBdr>
        </w:div>
        <w:div w:id="146438401">
          <w:marLeft w:val="547"/>
          <w:marRight w:val="0"/>
          <w:marTop w:val="154"/>
          <w:marBottom w:val="0"/>
          <w:divBdr>
            <w:top w:val="none" w:sz="0" w:space="0" w:color="auto"/>
            <w:left w:val="none" w:sz="0" w:space="0" w:color="auto"/>
            <w:bottom w:val="none" w:sz="0" w:space="0" w:color="auto"/>
            <w:right w:val="none" w:sz="0" w:space="0" w:color="auto"/>
          </w:divBdr>
        </w:div>
        <w:div w:id="1219701913">
          <w:marLeft w:val="547"/>
          <w:marRight w:val="0"/>
          <w:marTop w:val="154"/>
          <w:marBottom w:val="0"/>
          <w:divBdr>
            <w:top w:val="none" w:sz="0" w:space="0" w:color="auto"/>
            <w:left w:val="none" w:sz="0" w:space="0" w:color="auto"/>
            <w:bottom w:val="none" w:sz="0" w:space="0" w:color="auto"/>
            <w:right w:val="none" w:sz="0" w:space="0" w:color="auto"/>
          </w:divBdr>
        </w:div>
        <w:div w:id="1961720580">
          <w:marLeft w:val="547"/>
          <w:marRight w:val="0"/>
          <w:marTop w:val="154"/>
          <w:marBottom w:val="0"/>
          <w:divBdr>
            <w:top w:val="none" w:sz="0" w:space="0" w:color="auto"/>
            <w:left w:val="none" w:sz="0" w:space="0" w:color="auto"/>
            <w:bottom w:val="none" w:sz="0" w:space="0" w:color="auto"/>
            <w:right w:val="none" w:sz="0" w:space="0" w:color="auto"/>
          </w:divBdr>
        </w:div>
      </w:divsChild>
    </w:div>
    <w:div w:id="1989049482">
      <w:bodyDiv w:val="1"/>
      <w:marLeft w:val="0"/>
      <w:marRight w:val="0"/>
      <w:marTop w:val="0"/>
      <w:marBottom w:val="0"/>
      <w:divBdr>
        <w:top w:val="none" w:sz="0" w:space="0" w:color="auto"/>
        <w:left w:val="none" w:sz="0" w:space="0" w:color="auto"/>
        <w:bottom w:val="none" w:sz="0" w:space="0" w:color="auto"/>
        <w:right w:val="none" w:sz="0" w:space="0" w:color="auto"/>
      </w:divBdr>
    </w:div>
    <w:div w:id="2022388835">
      <w:bodyDiv w:val="1"/>
      <w:marLeft w:val="0"/>
      <w:marRight w:val="0"/>
      <w:marTop w:val="0"/>
      <w:marBottom w:val="0"/>
      <w:divBdr>
        <w:top w:val="none" w:sz="0" w:space="0" w:color="auto"/>
        <w:left w:val="none" w:sz="0" w:space="0" w:color="auto"/>
        <w:bottom w:val="none" w:sz="0" w:space="0" w:color="auto"/>
        <w:right w:val="none" w:sz="0" w:space="0" w:color="auto"/>
      </w:divBdr>
    </w:div>
    <w:div w:id="2028169674">
      <w:bodyDiv w:val="1"/>
      <w:marLeft w:val="0"/>
      <w:marRight w:val="0"/>
      <w:marTop w:val="0"/>
      <w:marBottom w:val="0"/>
      <w:divBdr>
        <w:top w:val="none" w:sz="0" w:space="0" w:color="auto"/>
        <w:left w:val="none" w:sz="0" w:space="0" w:color="auto"/>
        <w:bottom w:val="none" w:sz="0" w:space="0" w:color="auto"/>
        <w:right w:val="none" w:sz="0" w:space="0" w:color="auto"/>
      </w:divBdr>
    </w:div>
    <w:div w:id="2059474167">
      <w:bodyDiv w:val="1"/>
      <w:marLeft w:val="0"/>
      <w:marRight w:val="0"/>
      <w:marTop w:val="0"/>
      <w:marBottom w:val="0"/>
      <w:divBdr>
        <w:top w:val="none" w:sz="0" w:space="0" w:color="auto"/>
        <w:left w:val="none" w:sz="0" w:space="0" w:color="auto"/>
        <w:bottom w:val="none" w:sz="0" w:space="0" w:color="auto"/>
        <w:right w:val="none" w:sz="0" w:space="0" w:color="auto"/>
      </w:divBdr>
    </w:div>
    <w:div w:id="2098364153">
      <w:bodyDiv w:val="1"/>
      <w:marLeft w:val="0"/>
      <w:marRight w:val="0"/>
      <w:marTop w:val="0"/>
      <w:marBottom w:val="0"/>
      <w:divBdr>
        <w:top w:val="none" w:sz="0" w:space="0" w:color="auto"/>
        <w:left w:val="none" w:sz="0" w:space="0" w:color="auto"/>
        <w:bottom w:val="none" w:sz="0" w:space="0" w:color="auto"/>
        <w:right w:val="none" w:sz="0" w:space="0" w:color="auto"/>
      </w:divBdr>
    </w:div>
    <w:div w:id="2136019106">
      <w:bodyDiv w:val="1"/>
      <w:marLeft w:val="0"/>
      <w:marRight w:val="0"/>
      <w:marTop w:val="0"/>
      <w:marBottom w:val="0"/>
      <w:divBdr>
        <w:top w:val="none" w:sz="0" w:space="0" w:color="auto"/>
        <w:left w:val="none" w:sz="0" w:space="0" w:color="auto"/>
        <w:bottom w:val="none" w:sz="0" w:space="0" w:color="auto"/>
        <w:right w:val="none" w:sz="0" w:space="0" w:color="auto"/>
      </w:divBdr>
    </w:div>
    <w:div w:id="214152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png"/><Relationship Id="rId39" Type="http://schemas.openxmlformats.org/officeDocument/2006/relationships/image" Target="media/image5.png"/><Relationship Id="rId21" Type="http://schemas.openxmlformats.org/officeDocument/2006/relationships/styles" Target="styles.xml"/><Relationship Id="rId34" Type="http://schemas.openxmlformats.org/officeDocument/2006/relationships/header" Target="header4.xml"/><Relationship Id="rId42" Type="http://schemas.openxmlformats.org/officeDocument/2006/relationships/image" Target="media/image8.png"/><Relationship Id="rId47" Type="http://schemas.openxmlformats.org/officeDocument/2006/relationships/image" Target="media/image13.png"/><Relationship Id="rId50" Type="http://schemas.microsoft.com/office/2007/relationships/hdphoto" Target="media/hdphoto2.wdp"/><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header" Target="header2.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grafana.com" TargetMode="External"/><Relationship Id="rId58"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image" Target="media/image2.png"/><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image" Target="media/image9.png"/><Relationship Id="rId48" Type="http://schemas.microsoft.com/office/2007/relationships/hdphoto" Target="media/hdphoto1.wdp"/><Relationship Id="rId56" Type="http://schemas.microsoft.com/office/2007/relationships/hdphoto" Target="media/hdphoto4.wdp"/><Relationship Id="rId8" Type="http://schemas.openxmlformats.org/officeDocument/2006/relationships/customXml" Target="../customXml/item8.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footer" Target="footer3.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0.png"/><Relationship Id="rId20" Type="http://schemas.openxmlformats.org/officeDocument/2006/relationships/numbering" Target="numbering.xml"/><Relationship Id="rId41" Type="http://schemas.openxmlformats.org/officeDocument/2006/relationships/image" Target="media/image7.png"/><Relationship Id="rId54" Type="http://schemas.openxmlformats.org/officeDocument/2006/relationships/image" Target="media/image1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customXml" Target="../customXml/item10.xml"/><Relationship Id="rId31" Type="http://schemas.openxmlformats.org/officeDocument/2006/relationships/footer" Target="footer2.xml"/><Relationship Id="rId44" Type="http://schemas.openxmlformats.org/officeDocument/2006/relationships/image" Target="media/image10.png"/><Relationship Id="rId52" Type="http://schemas.microsoft.com/office/2007/relationships/hdphoto" Target="media/hdphoto3.wdp"/><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customXml" Target="../customXml/item9.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ssell\Documents\MS%20Office\doc\report%20templates\Whit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2" ma:contentTypeDescription="Create a new document." ma:contentTypeScope="" ma:versionID="61621d5cb4ebb01816f1d09d00f5bc54">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ef042412d716613469d9eba3fe6f23ae"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A25FE-11F3-48F5-B066-6D55D75CD8E8}">
  <ds:schemaRefs>
    <ds:schemaRef ds:uri="http://schemas.microsoft.com/office/2006/metadata/properties"/>
    <ds:schemaRef ds:uri="http://schemas.microsoft.com/office/infopath/2007/PartnerControls"/>
  </ds:schemaRefs>
</ds:datastoreItem>
</file>

<file path=customXml/itemProps10.xml><?xml version="1.0" encoding="utf-8"?>
<ds:datastoreItem xmlns:ds="http://schemas.openxmlformats.org/officeDocument/2006/customXml" ds:itemID="{DE4635DD-0796-4769-98C1-94B4A4864166}">
  <ds:schemaRefs>
    <ds:schemaRef ds:uri="http://schemas.openxmlformats.org/officeDocument/2006/bibliography"/>
  </ds:schemaRefs>
</ds:datastoreItem>
</file>

<file path=customXml/itemProps11.xml><?xml version="1.0" encoding="utf-8"?>
<ds:datastoreItem xmlns:ds="http://schemas.openxmlformats.org/officeDocument/2006/customXml" ds:itemID="{A2BD0831-75B0-478D-89BE-60ED90131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xml><?xml version="1.0" encoding="utf-8"?>
<ds:datastoreItem xmlns:ds="http://schemas.openxmlformats.org/officeDocument/2006/customXml" ds:itemID="{3B2E5A41-B3EC-465F-B7D5-5668B767D1AE}">
  <ds:schemaRefs>
    <ds:schemaRef ds:uri="http://schemas.openxmlformats.org/officeDocument/2006/bibliography"/>
  </ds:schemaRefs>
</ds:datastoreItem>
</file>

<file path=customXml/itemProps13.xml><?xml version="1.0" encoding="utf-8"?>
<ds:datastoreItem xmlns:ds="http://schemas.openxmlformats.org/officeDocument/2006/customXml" ds:itemID="{D5B0D732-4CD9-4F7E-AC37-791BE2EDA739}">
  <ds:schemaRefs>
    <ds:schemaRef ds:uri="http://schemas.openxmlformats.org/officeDocument/2006/bibliography"/>
  </ds:schemaRefs>
</ds:datastoreItem>
</file>

<file path=customXml/itemProps14.xml><?xml version="1.0" encoding="utf-8"?>
<ds:datastoreItem xmlns:ds="http://schemas.openxmlformats.org/officeDocument/2006/customXml" ds:itemID="{157EAA8A-E5FD-4B31-9332-E9D7777ACEEB}">
  <ds:schemaRefs>
    <ds:schemaRef ds:uri="http://schemas.openxmlformats.org/officeDocument/2006/bibliography"/>
  </ds:schemaRefs>
</ds:datastoreItem>
</file>

<file path=customXml/itemProps15.xml><?xml version="1.0" encoding="utf-8"?>
<ds:datastoreItem xmlns:ds="http://schemas.openxmlformats.org/officeDocument/2006/customXml" ds:itemID="{68B9F961-72A5-4A72-88F1-548762FD5775}">
  <ds:schemaRefs>
    <ds:schemaRef ds:uri="http://schemas.openxmlformats.org/officeDocument/2006/bibliography"/>
  </ds:schemaRefs>
</ds:datastoreItem>
</file>

<file path=customXml/itemProps16.xml><?xml version="1.0" encoding="utf-8"?>
<ds:datastoreItem xmlns:ds="http://schemas.openxmlformats.org/officeDocument/2006/customXml" ds:itemID="{1CE3BE2A-45E3-4241-8E6A-ED161A901CE5}">
  <ds:schemaRefs>
    <ds:schemaRef ds:uri="http://schemas.openxmlformats.org/officeDocument/2006/bibliography"/>
  </ds:schemaRefs>
</ds:datastoreItem>
</file>

<file path=customXml/itemProps17.xml><?xml version="1.0" encoding="utf-8"?>
<ds:datastoreItem xmlns:ds="http://schemas.openxmlformats.org/officeDocument/2006/customXml" ds:itemID="{9F458DB1-427E-4B1D-A519-857E249221AA}">
  <ds:schemaRefs>
    <ds:schemaRef ds:uri="http://schemas.openxmlformats.org/officeDocument/2006/bibliography"/>
  </ds:schemaRefs>
</ds:datastoreItem>
</file>

<file path=customXml/itemProps18.xml><?xml version="1.0" encoding="utf-8"?>
<ds:datastoreItem xmlns:ds="http://schemas.openxmlformats.org/officeDocument/2006/customXml" ds:itemID="{2CAD22D7-E053-403A-8A53-5E4E267C86CA}">
  <ds:schemaRefs>
    <ds:schemaRef ds:uri="http://schemas.openxmlformats.org/officeDocument/2006/bibliography"/>
  </ds:schemaRefs>
</ds:datastoreItem>
</file>

<file path=customXml/itemProps19.xml><?xml version="1.0" encoding="utf-8"?>
<ds:datastoreItem xmlns:ds="http://schemas.openxmlformats.org/officeDocument/2006/customXml" ds:itemID="{B5F2420B-3D2C-4FA3-AC0E-FF7AE523BFD5}">
  <ds:schemaRefs>
    <ds:schemaRef ds:uri="http://schemas.openxmlformats.org/officeDocument/2006/bibliography"/>
  </ds:schemaRefs>
</ds:datastoreItem>
</file>

<file path=customXml/itemProps2.xml><?xml version="1.0" encoding="utf-8"?>
<ds:datastoreItem xmlns:ds="http://schemas.openxmlformats.org/officeDocument/2006/customXml" ds:itemID="{1B0C4EF9-414F-4202-BA53-7EF8B0A6F306}">
  <ds:schemaRefs>
    <ds:schemaRef ds:uri="http://schemas.microsoft.com/sharepoint/v3/contenttype/forms"/>
  </ds:schemaRefs>
</ds:datastoreItem>
</file>

<file path=customXml/itemProps3.xml><?xml version="1.0" encoding="utf-8"?>
<ds:datastoreItem xmlns:ds="http://schemas.openxmlformats.org/officeDocument/2006/customXml" ds:itemID="{C956D7E7-F2A0-42FA-9D0D-B1424C017AEB}">
  <ds:schemaRefs>
    <ds:schemaRef ds:uri="http://schemas.openxmlformats.org/officeDocument/2006/bibliography"/>
  </ds:schemaRefs>
</ds:datastoreItem>
</file>

<file path=customXml/itemProps4.xml><?xml version="1.0" encoding="utf-8"?>
<ds:datastoreItem xmlns:ds="http://schemas.openxmlformats.org/officeDocument/2006/customXml" ds:itemID="{90E50AB9-DFA5-4E2A-A600-0E06CA1A3B4B}">
  <ds:schemaRefs>
    <ds:schemaRef ds:uri="http://schemas.openxmlformats.org/officeDocument/2006/bibliography"/>
  </ds:schemaRefs>
</ds:datastoreItem>
</file>

<file path=customXml/itemProps5.xml><?xml version="1.0" encoding="utf-8"?>
<ds:datastoreItem xmlns:ds="http://schemas.openxmlformats.org/officeDocument/2006/customXml" ds:itemID="{FAAA369C-976E-43C6-8ABB-5DF394C5C714}">
  <ds:schemaRefs>
    <ds:schemaRef ds:uri="http://schemas.openxmlformats.org/officeDocument/2006/bibliography"/>
  </ds:schemaRefs>
</ds:datastoreItem>
</file>

<file path=customXml/itemProps6.xml><?xml version="1.0" encoding="utf-8"?>
<ds:datastoreItem xmlns:ds="http://schemas.openxmlformats.org/officeDocument/2006/customXml" ds:itemID="{0CBBC8E9-DF4F-4843-B0DC-8738EBBC2BC0}">
  <ds:schemaRefs>
    <ds:schemaRef ds:uri="http://schemas.openxmlformats.org/officeDocument/2006/bibliography"/>
  </ds:schemaRefs>
</ds:datastoreItem>
</file>

<file path=customXml/itemProps7.xml><?xml version="1.0" encoding="utf-8"?>
<ds:datastoreItem xmlns:ds="http://schemas.openxmlformats.org/officeDocument/2006/customXml" ds:itemID="{15AE460C-D1CD-41EE-AE94-3104ED7DAA09}">
  <ds:schemaRefs>
    <ds:schemaRef ds:uri="http://schemas.openxmlformats.org/officeDocument/2006/bibliography"/>
  </ds:schemaRefs>
</ds:datastoreItem>
</file>

<file path=customXml/itemProps8.xml><?xml version="1.0" encoding="utf-8"?>
<ds:datastoreItem xmlns:ds="http://schemas.openxmlformats.org/officeDocument/2006/customXml" ds:itemID="{D137A876-B7CC-433D-B4A2-C639B7D71852}">
  <ds:schemaRefs>
    <ds:schemaRef ds:uri="http://schemas.openxmlformats.org/officeDocument/2006/bibliography"/>
  </ds:schemaRefs>
</ds:datastoreItem>
</file>

<file path=customXml/itemProps9.xml><?xml version="1.0" encoding="utf-8"?>
<ds:datastoreItem xmlns:ds="http://schemas.openxmlformats.org/officeDocument/2006/customXml" ds:itemID="{E2A6F3EF-458A-4675-8F8B-529C55388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 paper.dot</Template>
  <TotalTime>838</TotalTime>
  <Pages>45</Pages>
  <Words>13748</Words>
  <Characters>77735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Severna Publications</Company>
  <LinksUpToDate>false</LinksUpToDate>
  <CharactersWithSpaces>91301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Russell Robertson</dc:creator>
  <cp:lastModifiedBy>Russell Robertson</cp:lastModifiedBy>
  <cp:revision>1065</cp:revision>
  <cp:lastPrinted>2020-01-31T21:25:00Z</cp:lastPrinted>
  <dcterms:created xsi:type="dcterms:W3CDTF">2020-01-29T21:53:00Z</dcterms:created>
  <dcterms:modified xsi:type="dcterms:W3CDTF">2020-02-03T13:48:00Z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TC100435441033</vt:lpwstr>
  </property>
  <property fmtid="{D5CDD505-2E9C-101B-9397-08002B2CF9AE}" pid="3" name="ContentTypeId">
    <vt:lpwstr>0x010100DD911353AB0363428E7E058438AB7EBD</vt:lpwstr>
  </property>
</Properties>
</file>