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7E38F" w14:textId="1C94F13F" w:rsidR="00F4005B" w:rsidRPr="00241745" w:rsidRDefault="008A5213" w:rsidP="00C028C3">
      <w:pPr>
        <w:pStyle w:val="Heading1"/>
        <w:spacing w:after="240"/>
        <w:rPr>
          <w:sz w:val="22"/>
        </w:rPr>
      </w:pPr>
      <w:r w:rsidRPr="008A5213">
        <w:rPr>
          <w:sz w:val="22"/>
        </w:rPr>
        <w:t>Alignment of openPDC Deployments with ENTSO-E WAMS Requirements</w:t>
      </w:r>
    </w:p>
    <w:p w14:paraId="5E64EAAA" w14:textId="7BF66720" w:rsidR="00A24D0B" w:rsidRDefault="00745E55" w:rsidP="00C028C3">
      <w:pPr>
        <w:spacing w:after="240"/>
      </w:pPr>
      <w:r w:rsidRPr="00745E55">
        <w:t>This document outlines how openPDC-based WAMS deployments at TVA (Tennessee Valley Authority), Dominion Energy, and ONS (Operador Nacional do Sistema Elétrico) align with the core requirements defined by ENTSO-E for Transmission System Operators (TSOs) engaged in wide-area monitoring and control.</w:t>
      </w:r>
      <w:r w:rsidR="00D07DAD">
        <w:t xml:space="preserve"> </w:t>
      </w:r>
      <w:r w:rsidR="00F266BB">
        <w:t>SSEN (</w:t>
      </w:r>
      <w:r w:rsidR="00D07DAD">
        <w:t xml:space="preserve">Scottish </w:t>
      </w:r>
      <w:r w:rsidR="00BC1D81">
        <w:t xml:space="preserve">and Southern Energy </w:t>
      </w:r>
      <w:r w:rsidR="00F266BB">
        <w:t>Networks Transmission) is a TSO within ENTSO-E, so it has been left out of this document.</w:t>
      </w:r>
    </w:p>
    <w:p w14:paraId="5E672082" w14:textId="7FA26658" w:rsidR="00AF0AFE" w:rsidRPr="00AF0AFE" w:rsidRDefault="00745E55" w:rsidP="00AF0AFE">
      <w:pPr>
        <w:pStyle w:val="Heading2"/>
        <w:numPr>
          <w:ilvl w:val="0"/>
          <w:numId w:val="4"/>
        </w:numPr>
        <w:spacing w:after="240"/>
        <w:ind w:left="360"/>
        <w:jc w:val="left"/>
      </w:pPr>
      <w:r w:rsidRPr="00745E55">
        <w:t>Real-Time Synchrophasor Data Acquisition</w:t>
      </w:r>
    </w:p>
    <w:p w14:paraId="750BE5AF" w14:textId="2C25F940" w:rsidR="008B4416" w:rsidRDefault="008B4416" w:rsidP="008B4416">
      <w:pPr>
        <w:spacing w:after="240"/>
      </w:pPr>
      <w:r w:rsidRPr="006C0995">
        <w:rPr>
          <w:b/>
          <w:bCs/>
        </w:rPr>
        <w:t>ENTSO-E Requirement:</w:t>
      </w:r>
      <w:r>
        <w:t xml:space="preserve"> Continuous, high-resolution measurements of voltage, current, frequency, and phase angle for observability and system awareness.</w:t>
      </w:r>
    </w:p>
    <w:p w14:paraId="52E975D1" w14:textId="5E47C7FE" w:rsidR="008B4416" w:rsidRDefault="008B4416" w:rsidP="008B4416">
      <w:pPr>
        <w:spacing w:after="240"/>
      </w:pPr>
      <w:r>
        <w:t>All three TSOs have deployed openPDC to ingest and align PMU data in real time using IEEE C37.118.</w:t>
      </w:r>
    </w:p>
    <w:p w14:paraId="0A75E1EA" w14:textId="6159B754" w:rsidR="002A5378" w:rsidRPr="00DB61CD" w:rsidRDefault="008B4416" w:rsidP="008B4416">
      <w:pPr>
        <w:spacing w:after="240"/>
      </w:pPr>
      <w:r>
        <w:t>The systems provide millisecond-level resolution and timestamp synchronization using GPS clocks, ensuring precise monitoring across large transmission footprints.</w:t>
      </w:r>
    </w:p>
    <w:p w14:paraId="5E456A65" w14:textId="091AD583" w:rsidR="00A24D0B" w:rsidRDefault="008B4416" w:rsidP="00C028C3">
      <w:pPr>
        <w:pStyle w:val="Heading2"/>
        <w:numPr>
          <w:ilvl w:val="0"/>
          <w:numId w:val="4"/>
        </w:numPr>
        <w:spacing w:after="240"/>
        <w:ind w:left="360"/>
        <w:jc w:val="left"/>
      </w:pPr>
      <w:r w:rsidRPr="008B4416">
        <w:t>Data Validation and Quality Control</w:t>
      </w:r>
    </w:p>
    <w:p w14:paraId="34F45888" w14:textId="14B38480" w:rsidR="00EF05D7" w:rsidRDefault="00EF05D7" w:rsidP="00EF05D7">
      <w:pPr>
        <w:spacing w:after="240"/>
      </w:pPr>
      <w:r w:rsidRPr="006C0995">
        <w:rPr>
          <w:b/>
          <w:bCs/>
        </w:rPr>
        <w:t>ENTSO-E Requirement:</w:t>
      </w:r>
      <w:r>
        <w:t xml:space="preserve"> Ensure reliability and accuracy of input data streams.</w:t>
      </w:r>
    </w:p>
    <w:p w14:paraId="02F009C4" w14:textId="13BED114" w:rsidR="00EF05D7" w:rsidRDefault="00EF05D7" w:rsidP="00EF05D7">
      <w:pPr>
        <w:spacing w:after="240"/>
      </w:pPr>
      <w:r>
        <w:t>openPDC performs real-time validation, dropout detection, and substitution logic to manage data integrity.</w:t>
      </w:r>
    </w:p>
    <w:p w14:paraId="65348F32" w14:textId="247FFD04" w:rsidR="00893518" w:rsidRPr="00893518" w:rsidRDefault="00EF05D7" w:rsidP="00EF05D7">
      <w:pPr>
        <w:spacing w:after="240"/>
      </w:pPr>
      <w:r>
        <w:t xml:space="preserve">In </w:t>
      </w:r>
      <w:r w:rsidR="00686CEB">
        <w:t>all three</w:t>
      </w:r>
      <w:r>
        <w:t xml:space="preserve"> deployments, data quality flags are used to trigger filtering and alarms for data loss or latency issues.</w:t>
      </w:r>
    </w:p>
    <w:p w14:paraId="343B4421" w14:textId="726707C6" w:rsidR="00A24D0B" w:rsidRPr="00836FDC" w:rsidRDefault="00EF05D7" w:rsidP="00C028C3">
      <w:pPr>
        <w:pStyle w:val="Heading2"/>
        <w:numPr>
          <w:ilvl w:val="0"/>
          <w:numId w:val="4"/>
        </w:numPr>
        <w:spacing w:after="240"/>
        <w:ind w:left="360"/>
        <w:jc w:val="left"/>
      </w:pPr>
      <w:r w:rsidRPr="00EF05D7">
        <w:t>Data Routing and Redundancy</w:t>
      </w:r>
    </w:p>
    <w:p w14:paraId="1F7FD20B" w14:textId="4741F8CB" w:rsidR="00360703" w:rsidRDefault="00360703" w:rsidP="00360703">
      <w:pPr>
        <w:spacing w:after="240"/>
      </w:pPr>
      <w:r w:rsidRPr="006C0995">
        <w:rPr>
          <w:b/>
          <w:bCs/>
        </w:rPr>
        <w:t>ENTSO-E Requirement:</w:t>
      </w:r>
      <w:r>
        <w:t xml:space="preserve"> Resilient architecture capable of streaming data to multiple users or systems.</w:t>
      </w:r>
    </w:p>
    <w:p w14:paraId="5B6962AA" w14:textId="29FBA64E" w:rsidR="00360703" w:rsidRDefault="00360703" w:rsidP="00360703">
      <w:pPr>
        <w:spacing w:after="240"/>
      </w:pPr>
      <w:r>
        <w:t xml:space="preserve">openPDC has been configured at </w:t>
      </w:r>
      <w:r w:rsidR="00603DB7">
        <w:t>all three TSOs</w:t>
      </w:r>
      <w:r>
        <w:t xml:space="preserve"> to stream synchrophasor data to both real-time operators and long-term historians.</w:t>
      </w:r>
    </w:p>
    <w:p w14:paraId="676BFA3F" w14:textId="74FB0C17" w:rsidR="00033926" w:rsidRDefault="00360703" w:rsidP="00360703">
      <w:pPr>
        <w:spacing w:after="240"/>
      </w:pPr>
      <w:r>
        <w:t>Redundant instances are deployed to support failover and regional backup operations, consistent with ENTSO-E’s expectations for operational resilience.</w:t>
      </w:r>
    </w:p>
    <w:p w14:paraId="35ABD61B" w14:textId="5DB7035E" w:rsidR="003C1116" w:rsidRDefault="00D04FB7" w:rsidP="00C028C3">
      <w:pPr>
        <w:pStyle w:val="Heading2"/>
        <w:numPr>
          <w:ilvl w:val="0"/>
          <w:numId w:val="4"/>
        </w:numPr>
        <w:spacing w:after="240"/>
        <w:ind w:left="360"/>
        <w:jc w:val="left"/>
      </w:pPr>
      <w:r w:rsidRPr="00D04FB7">
        <w:t>Support for Cross-Border Data Exchange</w:t>
      </w:r>
    </w:p>
    <w:p w14:paraId="4107A06E" w14:textId="28CFF53D" w:rsidR="00B22F06" w:rsidRDefault="00B22F06" w:rsidP="00B22F06">
      <w:pPr>
        <w:spacing w:after="240"/>
      </w:pPr>
      <w:r w:rsidRPr="006C0995">
        <w:rPr>
          <w:b/>
          <w:bCs/>
        </w:rPr>
        <w:t>ENTSO-E Requirement:</w:t>
      </w:r>
      <w:r>
        <w:t xml:space="preserve"> Interoperability with regional coordination centers (e.g., Coreso) and neighboring TSOs.</w:t>
      </w:r>
    </w:p>
    <w:p w14:paraId="5CA278B9" w14:textId="77777777" w:rsidR="00B22F06" w:rsidRDefault="00B22F06" w:rsidP="00B22F06">
      <w:pPr>
        <w:spacing w:after="240"/>
      </w:pPr>
      <w:r>
        <w:t>While cross-border exchange was not a primary use case for TVA or Dominion, openPDC’s multi-endpoint streaming and protocol flexibility supports this capability.</w:t>
      </w:r>
    </w:p>
    <w:p w14:paraId="1AD9D456" w14:textId="34088591" w:rsidR="00D03B77" w:rsidRDefault="00B22F06" w:rsidP="00B22F06">
      <w:pPr>
        <w:spacing w:after="240"/>
      </w:pPr>
      <w:r>
        <w:lastRenderedPageBreak/>
        <w:t>At ONS, inter-regional visibility is supported across Brazil’s interconnected national grid, demonstrating capability for regional coordination.</w:t>
      </w:r>
    </w:p>
    <w:p w14:paraId="3030E2A3" w14:textId="5DA94E94" w:rsidR="00D04FB7" w:rsidRDefault="00B22F06" w:rsidP="00D04FB7">
      <w:pPr>
        <w:pStyle w:val="Heading2"/>
        <w:numPr>
          <w:ilvl w:val="0"/>
          <w:numId w:val="4"/>
        </w:numPr>
        <w:spacing w:after="240"/>
        <w:ind w:left="360"/>
        <w:jc w:val="left"/>
      </w:pPr>
      <w:r w:rsidRPr="00B22F06">
        <w:t>ROCOF and Event Detection</w:t>
      </w:r>
    </w:p>
    <w:p w14:paraId="1EC5C9E5" w14:textId="39508148" w:rsidR="00C67F5F" w:rsidRDefault="00C67F5F" w:rsidP="00C67F5F">
      <w:pPr>
        <w:spacing w:after="240"/>
      </w:pPr>
      <w:r w:rsidRPr="006C0995">
        <w:rPr>
          <w:b/>
          <w:bCs/>
        </w:rPr>
        <w:t>ENTSO-E Requirement:</w:t>
      </w:r>
      <w:r>
        <w:t xml:space="preserve"> Early detection of disturbances using Rate of Change of Frequency (ROCOF) and event alarms.</w:t>
      </w:r>
    </w:p>
    <w:p w14:paraId="1BF5B19F" w14:textId="74B49F30" w:rsidR="00C67F5F" w:rsidRDefault="00C67F5F" w:rsidP="00C67F5F">
      <w:pPr>
        <w:spacing w:after="240"/>
      </w:pPr>
      <w:r>
        <w:t>TVA and Dominion receive ROCOF data directly from PMUs and forward it via openPDC.</w:t>
      </w:r>
    </w:p>
    <w:p w14:paraId="11E7B7DF" w14:textId="5AEC3C42" w:rsidR="009B23B6" w:rsidRDefault="00C67F5F" w:rsidP="00C67F5F">
      <w:pPr>
        <w:spacing w:after="240"/>
      </w:pPr>
      <w:r>
        <w:t xml:space="preserve">At ONS, openPDC is part of an event detection chain that feeds </w:t>
      </w:r>
      <w:r w:rsidR="00603DB7">
        <w:t>openHistorian</w:t>
      </w:r>
      <w:r w:rsidR="009F577E">
        <w:t xml:space="preserve"> for analysis, alarming, and visualization</w:t>
      </w:r>
      <w:r>
        <w:t>.</w:t>
      </w:r>
    </w:p>
    <w:p w14:paraId="505E7CF0" w14:textId="1752E777" w:rsidR="00D04FB7" w:rsidRDefault="00EA2B70" w:rsidP="00D04FB7">
      <w:pPr>
        <w:pStyle w:val="Heading2"/>
        <w:numPr>
          <w:ilvl w:val="0"/>
          <w:numId w:val="4"/>
        </w:numPr>
        <w:spacing w:after="240"/>
        <w:ind w:left="360"/>
        <w:jc w:val="left"/>
      </w:pPr>
      <w:r w:rsidRPr="00EA2B70">
        <w:t>Integration with Storage and Visualization Systems</w:t>
      </w:r>
    </w:p>
    <w:p w14:paraId="0F670907" w14:textId="26FF79C8" w:rsidR="00EA2B70" w:rsidRDefault="00EA2B70" w:rsidP="00EA2B70">
      <w:pPr>
        <w:spacing w:after="240"/>
      </w:pPr>
      <w:r w:rsidRPr="006C0995">
        <w:rPr>
          <w:b/>
          <w:bCs/>
        </w:rPr>
        <w:t>ENTSO-E Requirement:</w:t>
      </w:r>
      <w:r>
        <w:t xml:space="preserve"> Long-term archiving and visualization for diagnostics, forecasting, and operator support.</w:t>
      </w:r>
    </w:p>
    <w:p w14:paraId="59E9648E" w14:textId="1D34F5F4" w:rsidR="00EA2B70" w:rsidRDefault="00EA2B70" w:rsidP="00EA2B70">
      <w:pPr>
        <w:spacing w:after="240"/>
      </w:pPr>
      <w:r>
        <w:t xml:space="preserve">All three TSOs integrate openPDC with openHistorian, </w:t>
      </w:r>
      <w:r w:rsidR="00F262F8">
        <w:t>SCADA systems</w:t>
      </w:r>
      <w:r>
        <w:t xml:space="preserve">, </w:t>
      </w:r>
      <w:r w:rsidR="001A2100">
        <w:t>and/</w:t>
      </w:r>
      <w:r>
        <w:t>or custom dashboards.</w:t>
      </w:r>
    </w:p>
    <w:p w14:paraId="36508321" w14:textId="69C390B2" w:rsidR="009B23B6" w:rsidRDefault="00EA2B70" w:rsidP="00EA2B70">
      <w:pPr>
        <w:spacing w:after="240"/>
      </w:pPr>
      <w:r>
        <w:t>This meets ENTSO-E’s guidance on leveraging WAMS for system planning, outage analysis, and post-event forensics.</w:t>
      </w:r>
    </w:p>
    <w:p w14:paraId="545DC1D4" w14:textId="3A0C5580" w:rsidR="00D04FB7" w:rsidRDefault="00EA2B70" w:rsidP="00D04FB7">
      <w:pPr>
        <w:pStyle w:val="Heading2"/>
        <w:numPr>
          <w:ilvl w:val="0"/>
          <w:numId w:val="4"/>
        </w:numPr>
        <w:spacing w:after="240"/>
        <w:ind w:left="360"/>
        <w:jc w:val="left"/>
      </w:pPr>
      <w:r w:rsidRPr="00EA2B70">
        <w:t>Modularity and Extensibility</w:t>
      </w:r>
    </w:p>
    <w:p w14:paraId="2FD7B4CC" w14:textId="6B388EDA" w:rsidR="006C0995" w:rsidRDefault="006C0995" w:rsidP="006C0995">
      <w:pPr>
        <w:spacing w:after="240"/>
      </w:pPr>
      <w:r w:rsidRPr="006C0995">
        <w:rPr>
          <w:b/>
          <w:bCs/>
        </w:rPr>
        <w:t>ENTSO-E Requirement:</w:t>
      </w:r>
      <w:r>
        <w:t xml:space="preserve"> Support for system evolution and future standard compliance.</w:t>
      </w:r>
    </w:p>
    <w:p w14:paraId="052B30B5" w14:textId="430C896B" w:rsidR="006C0995" w:rsidRDefault="006C0995" w:rsidP="006C0995">
      <w:pPr>
        <w:spacing w:after="240"/>
      </w:pPr>
      <w:r>
        <w:t xml:space="preserve">openPDC deployments at </w:t>
      </w:r>
      <w:r w:rsidR="00EF2682">
        <w:t>all three TSOs</w:t>
      </w:r>
      <w:r>
        <w:t xml:space="preserve"> include custom adapters and plugins, allowing for tailored filtering, event tagging, and integration with SCADA.</w:t>
      </w:r>
    </w:p>
    <w:p w14:paraId="434E5C1F" w14:textId="64F84434" w:rsidR="00D04FB7" w:rsidRPr="00D0198A" w:rsidRDefault="006C0995" w:rsidP="006C0995">
      <w:pPr>
        <w:spacing w:after="240"/>
      </w:pPr>
      <w:r>
        <w:t>While openPDC does not natively support IEC 61850 or CIM, adapters or middleware solutions are feasible for aligning with evolving interoperability needs.</w:t>
      </w:r>
    </w:p>
    <w:sectPr w:rsidR="00D04FB7" w:rsidRPr="00D0198A" w:rsidSect="00DD0734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720" w:right="1526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4FF1D" w14:textId="77777777" w:rsidR="00F721D2" w:rsidRDefault="00F721D2" w:rsidP="00DD49B1">
      <w:r>
        <w:separator/>
      </w:r>
    </w:p>
  </w:endnote>
  <w:endnote w:type="continuationSeparator" w:id="0">
    <w:p w14:paraId="06924E1B" w14:textId="77777777" w:rsidR="00F721D2" w:rsidRDefault="00F721D2" w:rsidP="00DD4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BD0A2" w14:textId="77777777" w:rsidR="00821962" w:rsidRDefault="00821962" w:rsidP="00DC1E9E">
    <w:pPr>
      <w:ind w:left="-1008" w:right="-1008"/>
      <w:rPr>
        <w:rStyle w:val="Strong"/>
      </w:rPr>
    </w:pPr>
  </w:p>
  <w:p w14:paraId="35D323C4" w14:textId="0C5F3473" w:rsidR="005449D7" w:rsidRPr="00A23916" w:rsidRDefault="00DD0734" w:rsidP="00DC1E9E">
    <w:pPr>
      <w:ind w:left="-1008" w:right="-1008"/>
      <w:rPr>
        <w:rStyle w:val="Strong"/>
      </w:rPr>
    </w:pPr>
    <w:r>
      <w:rPr>
        <w:rStyle w:val="Strong"/>
      </w:rPr>
      <w:t xml:space="preserve">1100 Market Street, Suite </w:t>
    </w:r>
    <w:r w:rsidR="00012B80">
      <w:rPr>
        <w:rStyle w:val="Strong"/>
      </w:rPr>
      <w:t>8</w:t>
    </w:r>
    <w:r>
      <w:rPr>
        <w:rStyle w:val="Strong"/>
      </w:rPr>
      <w:t xml:space="preserve">06, </w:t>
    </w:r>
    <w:r w:rsidR="00C26E6B" w:rsidRPr="00A23916">
      <w:rPr>
        <w:rStyle w:val="Strong"/>
      </w:rPr>
      <w:t>Chattanooga, TN 37402-2707</w:t>
    </w:r>
    <w:r w:rsidR="005449D7" w:rsidRPr="00A23916">
      <w:rPr>
        <w:rStyle w:val="Strong"/>
      </w:rPr>
      <w:t xml:space="preserve">  </w:t>
    </w:r>
    <w:r w:rsidR="00DC1E9E">
      <w:rPr>
        <w:rStyle w:val="Strong"/>
      </w:rPr>
      <w:t xml:space="preserve"> </w:t>
    </w:r>
    <w:r w:rsidR="005449D7" w:rsidRPr="00A23916">
      <w:rPr>
        <w:rStyle w:val="Strong"/>
      </w:rPr>
      <w:t xml:space="preserve"> </w:t>
    </w:r>
    <w:r w:rsidR="00C26E6B" w:rsidRPr="00A23916">
      <w:rPr>
        <w:rStyle w:val="Strong"/>
      </w:rPr>
      <w:t>(423) 702-8136</w:t>
    </w:r>
    <w:r w:rsidR="005449D7" w:rsidRPr="00A23916">
      <w:rPr>
        <w:rStyle w:val="Strong"/>
      </w:rPr>
      <w:t xml:space="preserve">  </w:t>
    </w:r>
    <w:r w:rsidR="00DC1E9E">
      <w:rPr>
        <w:rStyle w:val="Strong"/>
      </w:rPr>
      <w:t xml:space="preserve">   </w:t>
    </w:r>
    <w:r w:rsidR="003D7725">
      <w:rPr>
        <w:rStyle w:val="Strong"/>
      </w:rPr>
      <w:t xml:space="preserve"> </w:t>
    </w:r>
    <w:r w:rsidR="005449D7" w:rsidRPr="00A23916">
      <w:rPr>
        <w:rStyle w:val="Strong"/>
      </w:rPr>
      <w:t>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897AFE" w14:textId="77777777" w:rsidR="00F721D2" w:rsidRDefault="00F721D2" w:rsidP="00DD49B1">
      <w:r>
        <w:separator/>
      </w:r>
    </w:p>
  </w:footnote>
  <w:footnote w:type="continuationSeparator" w:id="0">
    <w:p w14:paraId="3B7A6B4A" w14:textId="77777777" w:rsidR="00F721D2" w:rsidRDefault="00F721D2" w:rsidP="00DD49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721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540AC" w14:textId="5BAD5C19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619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DD49B1">
      <w:rPr>
        <w:noProof/>
      </w:rPr>
      <w:drawing>
        <wp:inline distT="0" distB="0" distL="0" distR="0" wp14:anchorId="3F674A4D" wp14:editId="23778807">
          <wp:extent cx="1426744" cy="659958"/>
          <wp:effectExtent l="0" t="0" r="254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36" cy="679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D1DC7" w14:textId="4860A3E5" w:rsidR="005449D7" w:rsidRDefault="00000000" w:rsidP="00DD49B1">
    <w:pPr>
      <w:pStyle w:val="Header"/>
    </w:pPr>
    <w:r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margin-left:0;margin-top:0;width:631.1pt;height:816.75pt;z-index:-251658240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D2918"/>
    <w:multiLevelType w:val="hybridMultilevel"/>
    <w:tmpl w:val="84F08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A1C17"/>
    <w:multiLevelType w:val="hybridMultilevel"/>
    <w:tmpl w:val="968ADA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7070C"/>
    <w:multiLevelType w:val="hybridMultilevel"/>
    <w:tmpl w:val="2AF0A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C70D1D"/>
    <w:multiLevelType w:val="hybridMultilevel"/>
    <w:tmpl w:val="54A220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262D08"/>
    <w:multiLevelType w:val="hybridMultilevel"/>
    <w:tmpl w:val="9E90982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365A588E"/>
    <w:multiLevelType w:val="hybridMultilevel"/>
    <w:tmpl w:val="0E38E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0D7B05"/>
    <w:multiLevelType w:val="hybridMultilevel"/>
    <w:tmpl w:val="57469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6F7475"/>
    <w:multiLevelType w:val="hybridMultilevel"/>
    <w:tmpl w:val="FDEE3BC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400D7325"/>
    <w:multiLevelType w:val="hybridMultilevel"/>
    <w:tmpl w:val="28C0B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B069EC"/>
    <w:multiLevelType w:val="hybridMultilevel"/>
    <w:tmpl w:val="13808A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D325DA"/>
    <w:multiLevelType w:val="hybridMultilevel"/>
    <w:tmpl w:val="AF0E4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0B66D9"/>
    <w:multiLevelType w:val="hybridMultilevel"/>
    <w:tmpl w:val="E4204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0A4AE2"/>
    <w:multiLevelType w:val="hybridMultilevel"/>
    <w:tmpl w:val="FFD64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45771B"/>
    <w:multiLevelType w:val="hybridMultilevel"/>
    <w:tmpl w:val="497A3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83119"/>
    <w:multiLevelType w:val="hybridMultilevel"/>
    <w:tmpl w:val="B6882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4A1CB4"/>
    <w:multiLevelType w:val="hybridMultilevel"/>
    <w:tmpl w:val="ABE63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3C5451"/>
    <w:multiLevelType w:val="hybridMultilevel"/>
    <w:tmpl w:val="DC740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9A52E1"/>
    <w:multiLevelType w:val="hybridMultilevel"/>
    <w:tmpl w:val="9D229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943706"/>
    <w:multiLevelType w:val="hybridMultilevel"/>
    <w:tmpl w:val="24BE12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18"/>
  </w:num>
  <w:num w:numId="2" w16cid:durableId="751243782">
    <w:abstractNumId w:val="5"/>
  </w:num>
  <w:num w:numId="3" w16cid:durableId="745373574">
    <w:abstractNumId w:val="19"/>
  </w:num>
  <w:num w:numId="4" w16cid:durableId="1033193659">
    <w:abstractNumId w:val="1"/>
  </w:num>
  <w:num w:numId="5" w16cid:durableId="460000417">
    <w:abstractNumId w:val="3"/>
  </w:num>
  <w:num w:numId="6" w16cid:durableId="1529492359">
    <w:abstractNumId w:val="9"/>
  </w:num>
  <w:num w:numId="7" w16cid:durableId="1132670360">
    <w:abstractNumId w:val="11"/>
  </w:num>
  <w:num w:numId="8" w16cid:durableId="678967385">
    <w:abstractNumId w:val="14"/>
  </w:num>
  <w:num w:numId="9" w16cid:durableId="500242866">
    <w:abstractNumId w:val="17"/>
  </w:num>
  <w:num w:numId="10" w16cid:durableId="879979503">
    <w:abstractNumId w:val="0"/>
  </w:num>
  <w:num w:numId="11" w16cid:durableId="918056394">
    <w:abstractNumId w:val="8"/>
  </w:num>
  <w:num w:numId="12" w16cid:durableId="569461544">
    <w:abstractNumId w:val="16"/>
  </w:num>
  <w:num w:numId="13" w16cid:durableId="1033119531">
    <w:abstractNumId w:val="15"/>
  </w:num>
  <w:num w:numId="14" w16cid:durableId="1532766242">
    <w:abstractNumId w:val="13"/>
  </w:num>
  <w:num w:numId="15" w16cid:durableId="853110157">
    <w:abstractNumId w:val="2"/>
  </w:num>
  <w:num w:numId="16" w16cid:durableId="677585475">
    <w:abstractNumId w:val="4"/>
  </w:num>
  <w:num w:numId="17" w16cid:durableId="299462447">
    <w:abstractNumId w:val="7"/>
  </w:num>
  <w:num w:numId="18" w16cid:durableId="545456720">
    <w:abstractNumId w:val="12"/>
  </w:num>
  <w:num w:numId="19" w16cid:durableId="818231134">
    <w:abstractNumId w:val="10"/>
  </w:num>
  <w:num w:numId="20" w16cid:durableId="20695003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2B80"/>
    <w:rsid w:val="00017806"/>
    <w:rsid w:val="00026380"/>
    <w:rsid w:val="000300CA"/>
    <w:rsid w:val="00033926"/>
    <w:rsid w:val="000407E7"/>
    <w:rsid w:val="000702C1"/>
    <w:rsid w:val="00073116"/>
    <w:rsid w:val="000A0791"/>
    <w:rsid w:val="000B3968"/>
    <w:rsid w:val="000C28A0"/>
    <w:rsid w:val="000E2615"/>
    <w:rsid w:val="00107435"/>
    <w:rsid w:val="00120AA6"/>
    <w:rsid w:val="0012526F"/>
    <w:rsid w:val="001A2100"/>
    <w:rsid w:val="002209BB"/>
    <w:rsid w:val="00220DBF"/>
    <w:rsid w:val="00236ECE"/>
    <w:rsid w:val="002410F5"/>
    <w:rsid w:val="00241745"/>
    <w:rsid w:val="00242006"/>
    <w:rsid w:val="00244490"/>
    <w:rsid w:val="0026030F"/>
    <w:rsid w:val="00276BC1"/>
    <w:rsid w:val="00280423"/>
    <w:rsid w:val="00287DA6"/>
    <w:rsid w:val="002A5378"/>
    <w:rsid w:val="002C11BE"/>
    <w:rsid w:val="002C27B7"/>
    <w:rsid w:val="002D7BD8"/>
    <w:rsid w:val="0035778C"/>
    <w:rsid w:val="00360703"/>
    <w:rsid w:val="00386A6D"/>
    <w:rsid w:val="003965DA"/>
    <w:rsid w:val="003C1116"/>
    <w:rsid w:val="003D7725"/>
    <w:rsid w:val="003F7F0F"/>
    <w:rsid w:val="0042461D"/>
    <w:rsid w:val="00442758"/>
    <w:rsid w:val="00482836"/>
    <w:rsid w:val="004A2151"/>
    <w:rsid w:val="004F3C74"/>
    <w:rsid w:val="005449D7"/>
    <w:rsid w:val="005636A3"/>
    <w:rsid w:val="005913DF"/>
    <w:rsid w:val="00595521"/>
    <w:rsid w:val="0059663C"/>
    <w:rsid w:val="005A1C7D"/>
    <w:rsid w:val="005C35E1"/>
    <w:rsid w:val="005D4179"/>
    <w:rsid w:val="005E3C5A"/>
    <w:rsid w:val="005E6579"/>
    <w:rsid w:val="005F6F46"/>
    <w:rsid w:val="00603DB7"/>
    <w:rsid w:val="0062145C"/>
    <w:rsid w:val="00686CEB"/>
    <w:rsid w:val="006C0995"/>
    <w:rsid w:val="006D00DC"/>
    <w:rsid w:val="00717C1A"/>
    <w:rsid w:val="00740C5B"/>
    <w:rsid w:val="00745E55"/>
    <w:rsid w:val="007467DF"/>
    <w:rsid w:val="00774450"/>
    <w:rsid w:val="00780123"/>
    <w:rsid w:val="00780204"/>
    <w:rsid w:val="00790CA5"/>
    <w:rsid w:val="007B7CCC"/>
    <w:rsid w:val="007C14AF"/>
    <w:rsid w:val="00806C5A"/>
    <w:rsid w:val="00821962"/>
    <w:rsid w:val="00825A66"/>
    <w:rsid w:val="00836FDC"/>
    <w:rsid w:val="00860F89"/>
    <w:rsid w:val="00872419"/>
    <w:rsid w:val="00872884"/>
    <w:rsid w:val="00884197"/>
    <w:rsid w:val="00893518"/>
    <w:rsid w:val="008A5213"/>
    <w:rsid w:val="008B4416"/>
    <w:rsid w:val="008C26FA"/>
    <w:rsid w:val="008E191B"/>
    <w:rsid w:val="009518F2"/>
    <w:rsid w:val="00986F03"/>
    <w:rsid w:val="0098767D"/>
    <w:rsid w:val="009B23B6"/>
    <w:rsid w:val="009B79E3"/>
    <w:rsid w:val="009F577E"/>
    <w:rsid w:val="00A23916"/>
    <w:rsid w:val="00A24D0B"/>
    <w:rsid w:val="00A40ECF"/>
    <w:rsid w:val="00A87AD6"/>
    <w:rsid w:val="00A90897"/>
    <w:rsid w:val="00A971EF"/>
    <w:rsid w:val="00AC7A26"/>
    <w:rsid w:val="00AF0AFE"/>
    <w:rsid w:val="00B22F06"/>
    <w:rsid w:val="00B33CA6"/>
    <w:rsid w:val="00B60C36"/>
    <w:rsid w:val="00B63188"/>
    <w:rsid w:val="00BC1D81"/>
    <w:rsid w:val="00BF28F6"/>
    <w:rsid w:val="00C028C3"/>
    <w:rsid w:val="00C066F3"/>
    <w:rsid w:val="00C26E6B"/>
    <w:rsid w:val="00C368BC"/>
    <w:rsid w:val="00C52B22"/>
    <w:rsid w:val="00C577AA"/>
    <w:rsid w:val="00C67F5F"/>
    <w:rsid w:val="00C7676B"/>
    <w:rsid w:val="00CA6D4A"/>
    <w:rsid w:val="00CD5ADA"/>
    <w:rsid w:val="00CE2121"/>
    <w:rsid w:val="00CE42C7"/>
    <w:rsid w:val="00CE6573"/>
    <w:rsid w:val="00CF42AE"/>
    <w:rsid w:val="00D0198A"/>
    <w:rsid w:val="00D03B77"/>
    <w:rsid w:val="00D04FB7"/>
    <w:rsid w:val="00D07DAD"/>
    <w:rsid w:val="00D22EAE"/>
    <w:rsid w:val="00D25189"/>
    <w:rsid w:val="00D27D75"/>
    <w:rsid w:val="00D3015C"/>
    <w:rsid w:val="00D62F65"/>
    <w:rsid w:val="00D6412B"/>
    <w:rsid w:val="00D71DD2"/>
    <w:rsid w:val="00DB61CD"/>
    <w:rsid w:val="00DC1E9E"/>
    <w:rsid w:val="00DC7BA8"/>
    <w:rsid w:val="00DD0734"/>
    <w:rsid w:val="00DD49B1"/>
    <w:rsid w:val="00E15674"/>
    <w:rsid w:val="00E21C60"/>
    <w:rsid w:val="00E255EF"/>
    <w:rsid w:val="00E26327"/>
    <w:rsid w:val="00E47A54"/>
    <w:rsid w:val="00EA2B70"/>
    <w:rsid w:val="00EC59E4"/>
    <w:rsid w:val="00EE4615"/>
    <w:rsid w:val="00EF05D7"/>
    <w:rsid w:val="00EF2682"/>
    <w:rsid w:val="00F060A9"/>
    <w:rsid w:val="00F113D7"/>
    <w:rsid w:val="00F1358B"/>
    <w:rsid w:val="00F262F8"/>
    <w:rsid w:val="00F266BB"/>
    <w:rsid w:val="00F4005B"/>
    <w:rsid w:val="00F449E8"/>
    <w:rsid w:val="00F6661D"/>
    <w:rsid w:val="00F721D2"/>
    <w:rsid w:val="00F77D1B"/>
    <w:rsid w:val="00F8305C"/>
    <w:rsid w:val="00F8358F"/>
    <w:rsid w:val="00F9340B"/>
    <w:rsid w:val="00FA03FF"/>
    <w:rsid w:val="00FC6FC1"/>
    <w:rsid w:val="00FD476F"/>
    <w:rsid w:val="00FE32F4"/>
    <w:rsid w:val="00FE3F47"/>
    <w:rsid w:val="00FF4D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23B6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link w:val="Heading2Char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styleId="TableGrid">
    <w:name w:val="Table Grid"/>
    <w:basedOn w:val="TableNormal"/>
    <w:rsid w:val="00F400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3C1116"/>
    <w:rPr>
      <w:rFonts w:ascii="Arial" w:hAnsi="Arial" w:cstheme="minorHAnsi"/>
      <w:b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3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1131</TotalTime>
  <Pages>2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DellComputerCorporation</Company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81</cp:revision>
  <cp:lastPrinted>2018-06-05T16:13:00Z</cp:lastPrinted>
  <dcterms:created xsi:type="dcterms:W3CDTF">2025-05-15T21:02:00Z</dcterms:created>
  <dcterms:modified xsi:type="dcterms:W3CDTF">2025-05-16T15:51:00Z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